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一、中国曲阳雕塑文化产业园管理委员会收支预算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一、中国曲阳雕塑文化产业园管理委员会收支预算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354.88</w:t>
            </w:r>
          </w:p>
        </w:tc>
        <w:tc>
          <w:tcPr>
            <w:tcW w:w="4535" w:type="dxa"/>
            <w:vAlign w:val="center"/>
          </w:tcPr>
          <w:p>
            <w:pPr>
              <w:pStyle w:val="12"/>
            </w:pPr>
            <w:r>
              <w:t>一、一般公共服务支出</w:t>
            </w:r>
          </w:p>
        </w:tc>
        <w:tc>
          <w:tcPr>
            <w:tcW w:w="2126" w:type="dxa"/>
            <w:vAlign w:val="center"/>
          </w:tcPr>
          <w:p>
            <w:pPr>
              <w:pStyle w:val="11"/>
            </w:pPr>
            <w:r>
              <w:t>284.34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354.88</w:t>
            </w:r>
          </w:p>
        </w:tc>
        <w:tc>
          <w:tcPr>
            <w:tcW w:w="4535" w:type="dxa"/>
            <w:vAlign w:val="center"/>
          </w:tcPr>
          <w:p>
            <w:pPr>
              <w:pStyle w:val="14"/>
            </w:pPr>
            <w:r>
              <w:t>本年支出合计</w:t>
            </w:r>
          </w:p>
        </w:tc>
        <w:tc>
          <w:tcPr>
            <w:tcW w:w="2126" w:type="dxa"/>
            <w:vAlign w:val="center"/>
          </w:tcPr>
          <w:p>
            <w:pPr>
              <w:pStyle w:val="15"/>
            </w:pPr>
            <w:r>
              <w:t>354.88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354.88</w:t>
            </w:r>
          </w:p>
        </w:tc>
        <w:tc>
          <w:tcPr>
            <w:tcW w:w="4535" w:type="dxa"/>
            <w:vAlign w:val="center"/>
          </w:tcPr>
          <w:p>
            <w:pPr>
              <w:pStyle w:val="14"/>
            </w:pPr>
            <w:r>
              <w:t>支出总计</w:t>
            </w:r>
          </w:p>
        </w:tc>
        <w:tc>
          <w:tcPr>
            <w:tcW w:w="2126" w:type="dxa"/>
            <w:vAlign w:val="center"/>
          </w:tcPr>
          <w:p>
            <w:pPr>
              <w:pStyle w:val="15"/>
            </w:pPr>
            <w:r>
              <w:t>354.88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354.88</w:t>
            </w:r>
          </w:p>
        </w:tc>
        <w:tc>
          <w:tcPr>
            <w:tcW w:w="1134" w:type="dxa"/>
            <w:vAlign w:val="center"/>
          </w:tcPr>
          <w:p>
            <w:pPr>
              <w:pStyle w:val="15"/>
            </w:pPr>
            <w:r>
              <w:t>354.88</w:t>
            </w:r>
          </w:p>
        </w:tc>
        <w:tc>
          <w:tcPr>
            <w:tcW w:w="1134" w:type="dxa"/>
            <w:vAlign w:val="center"/>
          </w:tcPr>
          <w:p>
            <w:pPr>
              <w:pStyle w:val="15"/>
            </w:pPr>
            <w:r>
              <w:t>354.88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284.34</w:t>
            </w:r>
          </w:p>
        </w:tc>
        <w:tc>
          <w:tcPr>
            <w:tcW w:w="1134" w:type="dxa"/>
            <w:vAlign w:val="center"/>
          </w:tcPr>
          <w:p>
            <w:pPr>
              <w:pStyle w:val="11"/>
            </w:pPr>
            <w:r>
              <w:t>284.34</w:t>
            </w:r>
          </w:p>
        </w:tc>
        <w:tc>
          <w:tcPr>
            <w:tcW w:w="1134" w:type="dxa"/>
            <w:vAlign w:val="center"/>
          </w:tcPr>
          <w:p>
            <w:pPr>
              <w:pStyle w:val="11"/>
            </w:pPr>
            <w:r>
              <w:t>284.34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284.34</w:t>
            </w:r>
          </w:p>
        </w:tc>
        <w:tc>
          <w:tcPr>
            <w:tcW w:w="1134" w:type="dxa"/>
            <w:vAlign w:val="center"/>
          </w:tcPr>
          <w:p>
            <w:pPr>
              <w:pStyle w:val="11"/>
            </w:pPr>
            <w:r>
              <w:t>284.34</w:t>
            </w:r>
          </w:p>
        </w:tc>
        <w:tc>
          <w:tcPr>
            <w:tcW w:w="1134" w:type="dxa"/>
            <w:vAlign w:val="center"/>
          </w:tcPr>
          <w:p>
            <w:pPr>
              <w:pStyle w:val="11"/>
            </w:pPr>
            <w:r>
              <w:t>284.34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225.82</w:t>
            </w:r>
          </w:p>
        </w:tc>
        <w:tc>
          <w:tcPr>
            <w:tcW w:w="1134" w:type="dxa"/>
            <w:vAlign w:val="center"/>
          </w:tcPr>
          <w:p>
            <w:pPr>
              <w:pStyle w:val="11"/>
            </w:pPr>
            <w:r>
              <w:t>225.82</w:t>
            </w:r>
          </w:p>
        </w:tc>
        <w:tc>
          <w:tcPr>
            <w:tcW w:w="1134" w:type="dxa"/>
            <w:vAlign w:val="center"/>
          </w:tcPr>
          <w:p>
            <w:pPr>
              <w:pStyle w:val="11"/>
            </w:pPr>
            <w:r>
              <w:t>225.82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19.13</w:t>
            </w:r>
          </w:p>
        </w:tc>
        <w:tc>
          <w:tcPr>
            <w:tcW w:w="1134" w:type="dxa"/>
            <w:vAlign w:val="center"/>
          </w:tcPr>
          <w:p>
            <w:pPr>
              <w:pStyle w:val="11"/>
            </w:pPr>
            <w:r>
              <w:t>19.13</w:t>
            </w:r>
          </w:p>
        </w:tc>
        <w:tc>
          <w:tcPr>
            <w:tcW w:w="1134" w:type="dxa"/>
            <w:vAlign w:val="center"/>
          </w:tcPr>
          <w:p>
            <w:pPr>
              <w:pStyle w:val="11"/>
            </w:pPr>
            <w:r>
              <w:t>19.13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19.13</w:t>
            </w:r>
          </w:p>
        </w:tc>
        <w:tc>
          <w:tcPr>
            <w:tcW w:w="1134" w:type="dxa"/>
            <w:vAlign w:val="center"/>
          </w:tcPr>
          <w:p>
            <w:pPr>
              <w:pStyle w:val="11"/>
            </w:pPr>
            <w:r>
              <w:t>19.13</w:t>
            </w:r>
          </w:p>
        </w:tc>
        <w:tc>
          <w:tcPr>
            <w:tcW w:w="1134" w:type="dxa"/>
            <w:vAlign w:val="center"/>
          </w:tcPr>
          <w:p>
            <w:pPr>
              <w:pStyle w:val="11"/>
            </w:pPr>
            <w:r>
              <w:t>19.13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22.01</w:t>
            </w:r>
          </w:p>
        </w:tc>
        <w:tc>
          <w:tcPr>
            <w:tcW w:w="1134" w:type="dxa"/>
            <w:vAlign w:val="center"/>
          </w:tcPr>
          <w:p>
            <w:pPr>
              <w:pStyle w:val="11"/>
            </w:pPr>
            <w:r>
              <w:t>22.01</w:t>
            </w:r>
          </w:p>
        </w:tc>
        <w:tc>
          <w:tcPr>
            <w:tcW w:w="1134" w:type="dxa"/>
            <w:vAlign w:val="center"/>
          </w:tcPr>
          <w:p>
            <w:pPr>
              <w:pStyle w:val="11"/>
            </w:pPr>
            <w:r>
              <w:t>22.01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22.01</w:t>
            </w:r>
          </w:p>
        </w:tc>
        <w:tc>
          <w:tcPr>
            <w:tcW w:w="1134" w:type="dxa"/>
            <w:vAlign w:val="center"/>
          </w:tcPr>
          <w:p>
            <w:pPr>
              <w:pStyle w:val="11"/>
            </w:pPr>
            <w:r>
              <w:t>22.01</w:t>
            </w:r>
          </w:p>
        </w:tc>
        <w:tc>
          <w:tcPr>
            <w:tcW w:w="1134" w:type="dxa"/>
            <w:vAlign w:val="center"/>
          </w:tcPr>
          <w:p>
            <w:pPr>
              <w:pStyle w:val="11"/>
            </w:pPr>
            <w:r>
              <w:t>22.01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22.01</w:t>
            </w:r>
          </w:p>
        </w:tc>
        <w:tc>
          <w:tcPr>
            <w:tcW w:w="1134" w:type="dxa"/>
            <w:vAlign w:val="center"/>
          </w:tcPr>
          <w:p>
            <w:pPr>
              <w:pStyle w:val="11"/>
            </w:pPr>
            <w:r>
              <w:t>22.01</w:t>
            </w:r>
          </w:p>
        </w:tc>
        <w:tc>
          <w:tcPr>
            <w:tcW w:w="1134" w:type="dxa"/>
            <w:vAlign w:val="center"/>
          </w:tcPr>
          <w:p>
            <w:pPr>
              <w:pStyle w:val="11"/>
            </w:pPr>
            <w:r>
              <w:t>22.01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354.88</w:t>
            </w:r>
          </w:p>
        </w:tc>
        <w:tc>
          <w:tcPr>
            <w:tcW w:w="1361" w:type="dxa"/>
            <w:vAlign w:val="center"/>
          </w:tcPr>
          <w:p>
            <w:pPr>
              <w:pStyle w:val="15"/>
            </w:pPr>
            <w:r>
              <w:t>324.88</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284.34</w:t>
            </w:r>
          </w:p>
        </w:tc>
        <w:tc>
          <w:tcPr>
            <w:tcW w:w="1361" w:type="dxa"/>
            <w:vAlign w:val="center"/>
          </w:tcPr>
          <w:p>
            <w:pPr>
              <w:pStyle w:val="11"/>
            </w:pPr>
            <w:r>
              <w:t>254.34</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284.34</w:t>
            </w:r>
          </w:p>
        </w:tc>
        <w:tc>
          <w:tcPr>
            <w:tcW w:w="1361" w:type="dxa"/>
            <w:vAlign w:val="center"/>
          </w:tcPr>
          <w:p>
            <w:pPr>
              <w:pStyle w:val="11"/>
            </w:pPr>
            <w:r>
              <w:t>254.34</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225.82</w:t>
            </w:r>
          </w:p>
        </w:tc>
        <w:tc>
          <w:tcPr>
            <w:tcW w:w="1361" w:type="dxa"/>
            <w:vAlign w:val="center"/>
          </w:tcPr>
          <w:p>
            <w:pPr>
              <w:pStyle w:val="11"/>
            </w:pPr>
            <w:r>
              <w:t>225.82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28.52</w:t>
            </w:r>
          </w:p>
        </w:tc>
        <w:tc>
          <w:tcPr>
            <w:tcW w:w="1361" w:type="dxa"/>
            <w:vAlign w:val="center"/>
          </w:tcPr>
          <w:p>
            <w:pPr>
              <w:pStyle w:val="11"/>
            </w:pPr>
            <w:r>
              <w:t>28.52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19.13</w:t>
            </w:r>
          </w:p>
        </w:tc>
        <w:tc>
          <w:tcPr>
            <w:tcW w:w="1361" w:type="dxa"/>
            <w:vAlign w:val="center"/>
          </w:tcPr>
          <w:p>
            <w:pPr>
              <w:pStyle w:val="11"/>
            </w:pPr>
            <w:r>
              <w:t>19.13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19.13</w:t>
            </w:r>
          </w:p>
        </w:tc>
        <w:tc>
          <w:tcPr>
            <w:tcW w:w="1361" w:type="dxa"/>
            <w:vAlign w:val="center"/>
          </w:tcPr>
          <w:p>
            <w:pPr>
              <w:pStyle w:val="11"/>
            </w:pPr>
            <w:r>
              <w:t>19.13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12.24</w:t>
            </w:r>
          </w:p>
        </w:tc>
        <w:tc>
          <w:tcPr>
            <w:tcW w:w="1361" w:type="dxa"/>
            <w:vAlign w:val="center"/>
          </w:tcPr>
          <w:p>
            <w:pPr>
              <w:pStyle w:val="11"/>
            </w:pPr>
            <w:r>
              <w:t>12.24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2.33</w:t>
            </w:r>
          </w:p>
        </w:tc>
        <w:tc>
          <w:tcPr>
            <w:tcW w:w="1361" w:type="dxa"/>
            <w:vAlign w:val="center"/>
          </w:tcPr>
          <w:p>
            <w:pPr>
              <w:pStyle w:val="11"/>
            </w:pPr>
            <w:r>
              <w:t>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4.56</w:t>
            </w:r>
          </w:p>
        </w:tc>
        <w:tc>
          <w:tcPr>
            <w:tcW w:w="1361" w:type="dxa"/>
            <w:vAlign w:val="center"/>
          </w:tcPr>
          <w:p>
            <w:pPr>
              <w:pStyle w:val="11"/>
            </w:pPr>
            <w:r>
              <w:t>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22.01</w:t>
            </w:r>
          </w:p>
        </w:tc>
        <w:tc>
          <w:tcPr>
            <w:tcW w:w="1361" w:type="dxa"/>
            <w:vAlign w:val="center"/>
          </w:tcPr>
          <w:p>
            <w:pPr>
              <w:pStyle w:val="11"/>
            </w:pPr>
            <w:r>
              <w:t>22.01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22.01</w:t>
            </w:r>
          </w:p>
        </w:tc>
        <w:tc>
          <w:tcPr>
            <w:tcW w:w="1361" w:type="dxa"/>
            <w:vAlign w:val="center"/>
          </w:tcPr>
          <w:p>
            <w:pPr>
              <w:pStyle w:val="11"/>
            </w:pPr>
            <w:r>
              <w:t>22.01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22.01</w:t>
            </w:r>
          </w:p>
        </w:tc>
        <w:tc>
          <w:tcPr>
            <w:tcW w:w="1361" w:type="dxa"/>
            <w:vAlign w:val="center"/>
          </w:tcPr>
          <w:p>
            <w:pPr>
              <w:pStyle w:val="11"/>
            </w:pPr>
            <w:r>
              <w:t>22.01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354.88</w:t>
            </w:r>
          </w:p>
        </w:tc>
        <w:tc>
          <w:tcPr>
            <w:tcW w:w="3402" w:type="dxa"/>
            <w:vAlign w:val="center"/>
          </w:tcPr>
          <w:p>
            <w:pPr>
              <w:pStyle w:val="12"/>
            </w:pPr>
            <w:r>
              <w:t>一、一般公共服务支出</w:t>
            </w:r>
          </w:p>
        </w:tc>
        <w:tc>
          <w:tcPr>
            <w:tcW w:w="1474" w:type="dxa"/>
            <w:vAlign w:val="center"/>
          </w:tcPr>
          <w:p>
            <w:pPr>
              <w:pStyle w:val="11"/>
            </w:pPr>
            <w:r>
              <w:t>284.34</w:t>
            </w:r>
          </w:p>
        </w:tc>
        <w:tc>
          <w:tcPr>
            <w:tcW w:w="1474" w:type="dxa"/>
            <w:vAlign w:val="center"/>
          </w:tcPr>
          <w:p>
            <w:pPr>
              <w:pStyle w:val="11"/>
            </w:pPr>
            <w:r>
              <w:t>284.34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29.40</w:t>
            </w:r>
          </w:p>
        </w:tc>
        <w:tc>
          <w:tcPr>
            <w:tcW w:w="1474" w:type="dxa"/>
            <w:vAlign w:val="center"/>
          </w:tcPr>
          <w:p>
            <w:pPr>
              <w:pStyle w:val="11"/>
            </w:pPr>
            <w:r>
              <w:t>29.40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19.13</w:t>
            </w:r>
          </w:p>
        </w:tc>
        <w:tc>
          <w:tcPr>
            <w:tcW w:w="1474" w:type="dxa"/>
            <w:vAlign w:val="center"/>
          </w:tcPr>
          <w:p>
            <w:pPr>
              <w:pStyle w:val="11"/>
            </w:pPr>
            <w:r>
              <w:t>19.13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22.01</w:t>
            </w:r>
          </w:p>
        </w:tc>
        <w:tc>
          <w:tcPr>
            <w:tcW w:w="1474" w:type="dxa"/>
            <w:vAlign w:val="center"/>
          </w:tcPr>
          <w:p>
            <w:pPr>
              <w:pStyle w:val="11"/>
            </w:pPr>
            <w:r>
              <w:t>22.01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354.88</w:t>
            </w:r>
          </w:p>
        </w:tc>
        <w:tc>
          <w:tcPr>
            <w:tcW w:w="3402" w:type="dxa"/>
            <w:vAlign w:val="center"/>
          </w:tcPr>
          <w:p>
            <w:pPr>
              <w:pStyle w:val="14"/>
            </w:pPr>
            <w:r>
              <w:t>本年支出合计</w:t>
            </w:r>
          </w:p>
        </w:tc>
        <w:tc>
          <w:tcPr>
            <w:tcW w:w="1474" w:type="dxa"/>
            <w:vAlign w:val="center"/>
          </w:tcPr>
          <w:p>
            <w:pPr>
              <w:pStyle w:val="15"/>
            </w:pPr>
            <w:r>
              <w:t>354.88</w:t>
            </w:r>
          </w:p>
        </w:tc>
        <w:tc>
          <w:tcPr>
            <w:tcW w:w="1474" w:type="dxa"/>
            <w:vAlign w:val="center"/>
          </w:tcPr>
          <w:p>
            <w:pPr>
              <w:pStyle w:val="15"/>
            </w:pPr>
            <w:r>
              <w:t>354.88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354.88</w:t>
            </w:r>
          </w:p>
        </w:tc>
        <w:tc>
          <w:tcPr>
            <w:tcW w:w="3402" w:type="dxa"/>
            <w:vAlign w:val="center"/>
          </w:tcPr>
          <w:p>
            <w:pPr>
              <w:pStyle w:val="14"/>
            </w:pPr>
            <w:r>
              <w:t>支出总计</w:t>
            </w:r>
          </w:p>
        </w:tc>
        <w:tc>
          <w:tcPr>
            <w:tcW w:w="1474" w:type="dxa"/>
            <w:vAlign w:val="center"/>
          </w:tcPr>
          <w:p>
            <w:pPr>
              <w:pStyle w:val="15"/>
            </w:pPr>
            <w:r>
              <w:t>354.88</w:t>
            </w:r>
          </w:p>
        </w:tc>
        <w:tc>
          <w:tcPr>
            <w:tcW w:w="1474" w:type="dxa"/>
            <w:vAlign w:val="center"/>
          </w:tcPr>
          <w:p>
            <w:pPr>
              <w:pStyle w:val="15"/>
            </w:pPr>
            <w:r>
              <w:t>354.88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354.88</w:t>
            </w:r>
          </w:p>
        </w:tc>
        <w:tc>
          <w:tcPr>
            <w:tcW w:w="2551" w:type="dxa"/>
            <w:vAlign w:val="center"/>
          </w:tcPr>
          <w:p>
            <w:pPr>
              <w:pStyle w:val="15"/>
            </w:pPr>
            <w:r>
              <w:t>324.88</w:t>
            </w:r>
          </w:p>
        </w:tc>
        <w:tc>
          <w:tcPr>
            <w:tcW w:w="2551" w:type="dxa"/>
            <w:vAlign w:val="center"/>
          </w:tcPr>
          <w:p>
            <w:pPr>
              <w:pStyle w:val="15"/>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284.34</w:t>
            </w:r>
          </w:p>
        </w:tc>
        <w:tc>
          <w:tcPr>
            <w:tcW w:w="2551" w:type="dxa"/>
            <w:vAlign w:val="center"/>
          </w:tcPr>
          <w:p>
            <w:pPr>
              <w:pStyle w:val="11"/>
            </w:pPr>
            <w:r>
              <w:t>254.34</w:t>
            </w: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284.34</w:t>
            </w:r>
          </w:p>
        </w:tc>
        <w:tc>
          <w:tcPr>
            <w:tcW w:w="2551" w:type="dxa"/>
            <w:vAlign w:val="center"/>
          </w:tcPr>
          <w:p>
            <w:pPr>
              <w:pStyle w:val="11"/>
            </w:pPr>
            <w:r>
              <w:t>254.34</w:t>
            </w: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225.82</w:t>
            </w:r>
          </w:p>
        </w:tc>
        <w:tc>
          <w:tcPr>
            <w:tcW w:w="2551" w:type="dxa"/>
            <w:vAlign w:val="center"/>
          </w:tcPr>
          <w:p>
            <w:pPr>
              <w:pStyle w:val="11"/>
            </w:pPr>
            <w:r>
              <w:t>225.82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28.52</w:t>
            </w:r>
          </w:p>
        </w:tc>
        <w:tc>
          <w:tcPr>
            <w:tcW w:w="2551" w:type="dxa"/>
            <w:vAlign w:val="center"/>
          </w:tcPr>
          <w:p>
            <w:pPr>
              <w:pStyle w:val="11"/>
            </w:pPr>
            <w:r>
              <w:t>28.52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19.13</w:t>
            </w:r>
          </w:p>
        </w:tc>
        <w:tc>
          <w:tcPr>
            <w:tcW w:w="2551" w:type="dxa"/>
            <w:vAlign w:val="center"/>
          </w:tcPr>
          <w:p>
            <w:pPr>
              <w:pStyle w:val="11"/>
            </w:pPr>
            <w:r>
              <w:t>19.13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19.13</w:t>
            </w:r>
          </w:p>
        </w:tc>
        <w:tc>
          <w:tcPr>
            <w:tcW w:w="2551" w:type="dxa"/>
            <w:vAlign w:val="center"/>
          </w:tcPr>
          <w:p>
            <w:pPr>
              <w:pStyle w:val="11"/>
            </w:pPr>
            <w:r>
              <w:t>19.13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22.01</w:t>
            </w:r>
          </w:p>
        </w:tc>
        <w:tc>
          <w:tcPr>
            <w:tcW w:w="2551" w:type="dxa"/>
            <w:vAlign w:val="center"/>
          </w:tcPr>
          <w:p>
            <w:pPr>
              <w:pStyle w:val="11"/>
            </w:pPr>
            <w:r>
              <w:t>22.01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22.01</w:t>
            </w:r>
          </w:p>
        </w:tc>
        <w:tc>
          <w:tcPr>
            <w:tcW w:w="2551" w:type="dxa"/>
            <w:vAlign w:val="center"/>
          </w:tcPr>
          <w:p>
            <w:pPr>
              <w:pStyle w:val="11"/>
            </w:pPr>
            <w:r>
              <w:t>22.01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22.01</w:t>
            </w:r>
          </w:p>
        </w:tc>
        <w:tc>
          <w:tcPr>
            <w:tcW w:w="2551" w:type="dxa"/>
            <w:vAlign w:val="center"/>
          </w:tcPr>
          <w:p>
            <w:pPr>
              <w:pStyle w:val="11"/>
            </w:pPr>
            <w:r>
              <w:t>22.01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324.88</w:t>
            </w:r>
          </w:p>
        </w:tc>
        <w:tc>
          <w:tcPr>
            <w:tcW w:w="2551" w:type="dxa"/>
            <w:vAlign w:val="center"/>
          </w:tcPr>
          <w:p>
            <w:pPr>
              <w:pStyle w:val="15"/>
            </w:pPr>
            <w:r>
              <w:t>285.48</w:t>
            </w:r>
          </w:p>
        </w:tc>
        <w:tc>
          <w:tcPr>
            <w:tcW w:w="2551" w:type="dxa"/>
            <w:vAlign w:val="center"/>
          </w:tcPr>
          <w:p>
            <w:pPr>
              <w:pStyle w:val="15"/>
            </w:pPr>
            <w:r>
              <w:t>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285.48</w:t>
            </w:r>
          </w:p>
        </w:tc>
        <w:tc>
          <w:tcPr>
            <w:tcW w:w="2551" w:type="dxa"/>
            <w:vAlign w:val="center"/>
          </w:tcPr>
          <w:p>
            <w:pPr>
              <w:pStyle w:val="11"/>
            </w:pPr>
            <w:r>
              <w:t>285.48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116.01</w:t>
            </w:r>
          </w:p>
        </w:tc>
        <w:tc>
          <w:tcPr>
            <w:tcW w:w="2551" w:type="dxa"/>
            <w:vAlign w:val="center"/>
          </w:tcPr>
          <w:p>
            <w:pPr>
              <w:pStyle w:val="11"/>
            </w:pPr>
            <w:r>
              <w:t>116.01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52.24</w:t>
            </w:r>
          </w:p>
        </w:tc>
        <w:tc>
          <w:tcPr>
            <w:tcW w:w="2551" w:type="dxa"/>
            <w:vAlign w:val="center"/>
          </w:tcPr>
          <w:p>
            <w:pPr>
              <w:pStyle w:val="11"/>
            </w:pPr>
            <w:r>
              <w:t>52.24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11.39</w:t>
            </w:r>
          </w:p>
        </w:tc>
        <w:tc>
          <w:tcPr>
            <w:tcW w:w="2551" w:type="dxa"/>
            <w:vAlign w:val="center"/>
          </w:tcPr>
          <w:p>
            <w:pPr>
              <w:pStyle w:val="11"/>
            </w:pPr>
            <w:r>
              <w:t>11.39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14.57</w:t>
            </w:r>
          </w:p>
        </w:tc>
        <w:tc>
          <w:tcPr>
            <w:tcW w:w="2551" w:type="dxa"/>
            <w:vAlign w:val="center"/>
          </w:tcPr>
          <w:p>
            <w:pPr>
              <w:pStyle w:val="11"/>
            </w:pPr>
            <w:r>
              <w:t>14.57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22.01</w:t>
            </w:r>
          </w:p>
        </w:tc>
        <w:tc>
          <w:tcPr>
            <w:tcW w:w="2551" w:type="dxa"/>
            <w:vAlign w:val="center"/>
          </w:tcPr>
          <w:p>
            <w:pPr>
              <w:pStyle w:val="11"/>
            </w:pPr>
            <w:r>
              <w:t>22.01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39.40</w:t>
            </w:r>
          </w:p>
        </w:tc>
        <w:tc>
          <w:tcPr>
            <w:tcW w:w="2551" w:type="dxa"/>
            <w:vAlign w:val="center"/>
          </w:tcPr>
          <w:p>
            <w:pPr>
              <w:pStyle w:val="11"/>
            </w:pPr>
          </w:p>
        </w:tc>
        <w:tc>
          <w:tcPr>
            <w:tcW w:w="2551" w:type="dxa"/>
            <w:vAlign w:val="center"/>
          </w:tcPr>
          <w:p>
            <w:pPr>
              <w:pStyle w:val="11"/>
            </w:pPr>
            <w:r>
              <w:t>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2.86</w:t>
            </w:r>
          </w:p>
        </w:tc>
        <w:tc>
          <w:tcPr>
            <w:tcW w:w="2551" w:type="dxa"/>
            <w:vAlign w:val="center"/>
          </w:tcPr>
          <w:p>
            <w:pPr>
              <w:pStyle w:val="11"/>
            </w:pPr>
          </w:p>
        </w:tc>
        <w:tc>
          <w:tcPr>
            <w:tcW w:w="2551"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7.66</w:t>
            </w:r>
          </w:p>
        </w:tc>
        <w:tc>
          <w:tcPr>
            <w:tcW w:w="2551" w:type="dxa"/>
            <w:vAlign w:val="center"/>
          </w:tcPr>
          <w:p>
            <w:pPr>
              <w:pStyle w:val="11"/>
            </w:pPr>
          </w:p>
        </w:tc>
        <w:tc>
          <w:tcPr>
            <w:tcW w:w="2551" w:type="dxa"/>
            <w:vAlign w:val="center"/>
          </w:tcPr>
          <w:p>
            <w:pPr>
              <w:pStyle w:val="11"/>
            </w:pPr>
            <w:r>
              <w:t>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2.91</w:t>
            </w:r>
          </w:p>
        </w:tc>
        <w:tc>
          <w:tcPr>
            <w:tcW w:w="2551" w:type="dxa"/>
            <w:vAlign w:val="center"/>
          </w:tcPr>
          <w:p>
            <w:pPr>
              <w:pStyle w:val="11"/>
            </w:pPr>
          </w:p>
        </w:tc>
        <w:tc>
          <w:tcPr>
            <w:tcW w:w="2551" w:type="dxa"/>
            <w:vAlign w:val="center"/>
          </w:tcPr>
          <w:p>
            <w:pPr>
              <w:pStyle w:val="11"/>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16.14</w:t>
            </w:r>
          </w:p>
        </w:tc>
        <w:tc>
          <w:tcPr>
            <w:tcW w:w="2551" w:type="dxa"/>
            <w:vAlign w:val="center"/>
          </w:tcPr>
          <w:p>
            <w:pPr>
              <w:pStyle w:val="11"/>
            </w:pPr>
          </w:p>
        </w:tc>
        <w:tc>
          <w:tcPr>
            <w:tcW w:w="2551" w:type="dxa"/>
            <w:vAlign w:val="center"/>
          </w:tcPr>
          <w:p>
            <w:pPr>
              <w:pStyle w:val="11"/>
            </w:pPr>
            <w:r>
              <w:t>16.14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中国曲阳雕塑文化产业园管理委员会2025年单位预算信息公开情况说明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按照《中华人民共和国预算法》、《地方预决算公开操作规程》和《关于进一步推进预算公开工作的实施意见》规定，现将中国曲阳雕塑文化产业园管理委员会2025年单位预算公开如下：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（一）、工作委员会主要职责</w:t>
      </w:r>
    </w:p>
    <w:p>
      <w:pPr>
        <w:pStyle w:val="17"/>
      </w:pPr>
      <w:r>
        <w:t>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党的纪律检查工作；负责辖区工会、共青团、妇联等群团工作；完成中共曲阳县委交办的其他任务。</w:t>
      </w:r>
    </w:p>
    <w:p>
      <w:pPr>
        <w:pStyle w:val="17"/>
      </w:pPr>
      <w:r>
        <w:t>（二）、管理委员会主要职责</w:t>
      </w:r>
    </w:p>
    <w:p>
      <w:pPr>
        <w:pStyle w:val="17"/>
      </w:pPr>
      <w:r>
        <w:t>编制辖区的总体规划和经济、社会发展规划，经批准后组织实施；审批或审核辖区固定资产投资项目；负责辖区基础设施和公用设施的建设和管理；负责辖区财政管理，实施辖区内财政预算、决算、国有资产管理和财政监督工作；负责招商引资、进出口贸易和国内外经济技术合作工作；负责辖区环境保护和安全生产监督管理工作；负责食品药品安全监督管理工作；负责辖区人力资源和社会保障工作；负责协调辖区内上级有关部门派驻机构的工作；负责曲阳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中国曲阳雕塑文化产业园管理委员会</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354.88万元，其中：一般公共预算收入354.88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曲阳雕塑文化产业园管理委员会年度单位预算中支出预算的总体情况。2025年支出预算354.88万元，其中基本支出324.88万元，包括人员经费285.48万元和日常公用经费39.40万元；项目支出30.00万元，主要为  园区建设专项业务项目经费30万元。</w:t>
      </w:r>
    </w:p>
    <w:p>
      <w:pPr>
        <w:pStyle w:val="18"/>
      </w:pPr>
      <w:r>
        <w:t>3、比上年增减情况</w:t>
      </w:r>
    </w:p>
    <w:p>
      <w:pPr>
        <w:pStyle w:val="18"/>
      </w:pPr>
      <w:r>
        <w:t>2025年预算收支安排354.88万元，较2024年预算减少1451.58万元，其中：基本支出减少23.58万元，主要为单位较上年度预算减少1人，相应的减少了基本支出。项目支出减少1428.00万元，主要为本年度年初预算项目减少，相应的减少了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1、园区建设专项公用经费绩效目标表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13063425P00427310178B</w:t>
            </w:r>
          </w:p>
        </w:tc>
        <w:tc>
          <w:tcPr>
            <w:tcW w:w="2835" w:type="dxa"/>
            <w:vAlign w:val="center"/>
          </w:tcPr>
          <w:p>
            <w:pPr>
              <w:pStyle w:val="10"/>
            </w:pPr>
            <w:r>
              <w:t>项目名称</w:t>
            </w:r>
          </w:p>
        </w:tc>
        <w:tc>
          <w:tcPr>
            <w:tcW w:w="6095" w:type="dxa"/>
            <w:gridSpan w:val="3"/>
            <w:vAlign w:val="center"/>
          </w:tcPr>
          <w:p>
            <w:pPr>
              <w:pStyle w:val="12"/>
            </w:pPr>
            <w:r>
              <w:t>园区建设专项公用经费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2025年预算安排30万元，其中县级资金30万元，全部用于园区建设专项公用经费，按工作进度进行支付。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1.通过购置设备、宣传片制作，提高园区建设、宣传水平，优化园区环境，保障单位正常运转，更好的为雕塑企业服务。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印制宣传册数量</w:t>
            </w:r>
          </w:p>
        </w:tc>
        <w:tc>
          <w:tcPr>
            <w:tcW w:w="5386" w:type="dxa"/>
            <w:vAlign w:val="center"/>
          </w:tcPr>
          <w:p>
            <w:pPr>
              <w:pStyle w:val="12"/>
            </w:pPr>
            <w:r>
              <w:t>印制宣传册数量</w:t>
            </w:r>
          </w:p>
        </w:tc>
        <w:tc>
          <w:tcPr>
            <w:tcW w:w="2268" w:type="dxa"/>
            <w:vAlign w:val="center"/>
          </w:tcPr>
          <w:p>
            <w:pPr>
              <w:pStyle w:val="12"/>
            </w:pPr>
            <w:r>
              <w:t>≥650册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工作落实到位率</w:t>
            </w:r>
          </w:p>
        </w:tc>
        <w:tc>
          <w:tcPr>
            <w:tcW w:w="5386" w:type="dxa"/>
            <w:vAlign w:val="center"/>
          </w:tcPr>
          <w:p>
            <w:pPr>
              <w:pStyle w:val="12"/>
            </w:pPr>
            <w:r>
              <w:t>综合事务工作落实到位率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办公设备购置完成时间</w:t>
            </w:r>
          </w:p>
        </w:tc>
        <w:tc>
          <w:tcPr>
            <w:tcW w:w="5386" w:type="dxa"/>
            <w:vAlign w:val="center"/>
          </w:tcPr>
          <w:p>
            <w:pPr>
              <w:pStyle w:val="12"/>
            </w:pPr>
            <w:r>
              <w:t xml:space="preserve"> 办公设备购置完成时间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宣传册印制单册成本</w:t>
            </w:r>
          </w:p>
        </w:tc>
        <w:tc>
          <w:tcPr>
            <w:tcW w:w="5386" w:type="dxa"/>
            <w:vAlign w:val="center"/>
          </w:tcPr>
          <w:p>
            <w:pPr>
              <w:pStyle w:val="12"/>
            </w:pPr>
            <w:r>
              <w:t>宣传册印制单册成本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单位正常运转保障率</w:t>
            </w:r>
          </w:p>
        </w:tc>
        <w:tc>
          <w:tcPr>
            <w:tcW w:w="5386" w:type="dxa"/>
            <w:vAlign w:val="center"/>
          </w:tcPr>
          <w:p>
            <w:pPr>
              <w:pStyle w:val="12"/>
            </w:pPr>
            <w:r>
              <w:t>单位正常运转保障率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3.65</w:t>
            </w:r>
          </w:p>
        </w:tc>
        <w:tc>
          <w:tcPr>
            <w:tcW w:w="964" w:type="dxa"/>
            <w:vAlign w:val="center"/>
          </w:tcPr>
          <w:p>
            <w:pPr>
              <w:pStyle w:val="15"/>
            </w:pPr>
            <w:r>
              <w:t>3.65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中国曲阳雕塑文化产业园管理委员会小计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3.65</w:t>
            </w:r>
          </w:p>
        </w:tc>
        <w:tc>
          <w:tcPr>
            <w:tcW w:w="964" w:type="dxa"/>
            <w:vAlign w:val="center"/>
          </w:tcPr>
          <w:p>
            <w:pPr>
              <w:pStyle w:val="15"/>
            </w:pPr>
            <w:r>
              <w:t>3.65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11.24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11.24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11.24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园区建设专项公用经费</w:t>
            </w:r>
          </w:p>
        </w:tc>
        <w:tc>
          <w:tcPr>
            <w:tcW w:w="964" w:type="dxa"/>
            <w:vAlign w:val="center"/>
          </w:tcPr>
          <w:p>
            <w:pPr>
              <w:pStyle w:val="11"/>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园区建设专项公用经费</w:t>
            </w:r>
          </w:p>
        </w:tc>
        <w:tc>
          <w:tcPr>
            <w:tcW w:w="964" w:type="dxa"/>
            <w:vAlign w:val="center"/>
          </w:tcPr>
          <w:p>
            <w:pPr>
              <w:pStyle w:val="11"/>
            </w:pPr>
            <w:r>
              <w:t>30.00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园区建设专项公用经费</w:t>
            </w:r>
          </w:p>
        </w:tc>
        <w:tc>
          <w:tcPr>
            <w:tcW w:w="964" w:type="dxa"/>
            <w:vAlign w:val="center"/>
          </w:tcPr>
          <w:p>
            <w:pPr>
              <w:pStyle w:val="11"/>
            </w:pPr>
            <w:r>
              <w:t>30.00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园区建设专项公用经费</w:t>
            </w:r>
          </w:p>
        </w:tc>
        <w:tc>
          <w:tcPr>
            <w:tcW w:w="964" w:type="dxa"/>
            <w:vAlign w:val="center"/>
          </w:tcPr>
          <w:p>
            <w:pPr>
              <w:pStyle w:val="11"/>
            </w:pPr>
            <w:r>
              <w:t>30.00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6</w:t>
            </w:r>
          </w:p>
        </w:tc>
        <w:tc>
          <w:tcPr>
            <w:tcW w:w="850" w:type="dxa"/>
            <w:vAlign w:val="center"/>
          </w:tcPr>
          <w:p>
            <w:pPr>
              <w:pStyle w:val="11"/>
            </w:pPr>
            <w:r>
              <w:t>0.07</w:t>
            </w:r>
          </w:p>
        </w:tc>
        <w:tc>
          <w:tcPr>
            <w:tcW w:w="964" w:type="dxa"/>
            <w:vAlign w:val="center"/>
          </w:tcPr>
          <w:p>
            <w:pPr>
              <w:pStyle w:val="11"/>
            </w:pPr>
            <w:r>
              <w:t>0.42</w:t>
            </w:r>
          </w:p>
        </w:tc>
        <w:tc>
          <w:tcPr>
            <w:tcW w:w="964" w:type="dxa"/>
            <w:vAlign w:val="center"/>
          </w:tcPr>
          <w:p>
            <w:pPr>
              <w:pStyle w:val="11"/>
            </w:pPr>
            <w:r>
              <w:t>0.42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园区建设专项公用经费</w:t>
            </w:r>
          </w:p>
        </w:tc>
        <w:tc>
          <w:tcPr>
            <w:tcW w:w="964" w:type="dxa"/>
            <w:vAlign w:val="center"/>
          </w:tcPr>
          <w:p>
            <w:pPr>
              <w:pStyle w:val="11"/>
            </w:pPr>
            <w:r>
              <w:t>30.00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6</w:t>
            </w:r>
          </w:p>
        </w:tc>
        <w:tc>
          <w:tcPr>
            <w:tcW w:w="850" w:type="dxa"/>
            <w:vAlign w:val="center"/>
          </w:tcPr>
          <w:p>
            <w:pPr>
              <w:pStyle w:val="11"/>
            </w:pPr>
            <w:r>
              <w:t>0.03</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中国曲阳雕塑文化产业园管理委员会上年末固定资产金额为118.62万元（详见下表）。本年度拟购置固定资产总额为</w:t>
      </w:r>
      <w:r>
        <w:rPr>
          <w:rFonts w:hint="eastAsia" w:eastAsia="方正仿宋_GBK" w:cs="Times New Roman"/>
          <w:b w:val="0"/>
          <w:color w:val="000000"/>
          <w:sz w:val="28"/>
          <w:lang w:val="en-US" w:eastAsia="zh-CN"/>
        </w:rPr>
        <w:t>1.95</w:t>
      </w:r>
      <w:bookmarkStart w:id="1" w:name="_GoBack"/>
      <w:bookmarkEnd w:id="1"/>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976001中国曲阳雕塑文化产业园管理委员会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269</w:t>
            </w:r>
          </w:p>
        </w:tc>
        <w:tc>
          <w:tcPr>
            <w:tcW w:w="2835" w:type="dxa"/>
            <w:vAlign w:val="center"/>
          </w:tcPr>
          <w:p>
            <w:pPr>
              <w:pStyle w:val="11"/>
            </w:pPr>
            <w:r>
              <w:t>105.92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E5A37"/>
    <w:rsid w:val="14DA70A2"/>
    <w:rsid w:val="17E5069C"/>
    <w:rsid w:val="3156245C"/>
    <w:rsid w:val="391F0631"/>
    <w:rsid w:val="51617482"/>
    <w:rsid w:val="56A84002"/>
    <w:rsid w:val="611E1BE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2025-02-06T14:04:00Z</dcterms:created>
  <dc:creator>Lenovo</dc:creator>
  <cp:lastModifiedBy>Ydh</cp:lastModifiedBy>
  <dcterms:modified xsi:type="dcterms:W3CDTF">2025-02-07T06:17:32Z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