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978河北曲阳经济开发区管理委员会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148.01</w:t>
            </w:r>
          </w:p>
        </w:tc>
        <w:tc>
          <w:tcPr>
            <w:tcW w:w="4535" w:type="dxa"/>
            <w:vAlign w:val="center"/>
          </w:tcPr>
          <w:p>
            <w:pPr>
              <w:pStyle w:val="13"/>
            </w:pPr>
            <w:r>
              <w:t>一、一般公共服务支出</w:t>
            </w:r>
          </w:p>
        </w:tc>
        <w:tc>
          <w:tcPr>
            <w:tcW w:w="2126" w:type="dxa"/>
            <w:vAlign w:val="center"/>
          </w:tcPr>
          <w:p>
            <w:pPr>
              <w:pStyle w:val="12"/>
            </w:pPr>
            <w:r>
              <w:t>145.59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148.01</w:t>
            </w:r>
          </w:p>
        </w:tc>
        <w:tc>
          <w:tcPr>
            <w:tcW w:w="4535" w:type="dxa"/>
            <w:vAlign w:val="center"/>
          </w:tcPr>
          <w:p>
            <w:pPr>
              <w:pStyle w:val="15"/>
            </w:pPr>
            <w:r>
              <w:t>本年支出合计</w:t>
            </w:r>
          </w:p>
        </w:tc>
        <w:tc>
          <w:tcPr>
            <w:tcW w:w="2126" w:type="dxa"/>
            <w:vAlign w:val="center"/>
          </w:tcPr>
          <w:p>
            <w:pPr>
              <w:pStyle w:val="16"/>
            </w:pPr>
            <w:r>
              <w:t>148.01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148.01</w:t>
            </w:r>
          </w:p>
        </w:tc>
        <w:tc>
          <w:tcPr>
            <w:tcW w:w="4535" w:type="dxa"/>
            <w:vAlign w:val="center"/>
          </w:tcPr>
          <w:p>
            <w:pPr>
              <w:pStyle w:val="15"/>
            </w:pPr>
            <w:r>
              <w:t>支出总计</w:t>
            </w:r>
          </w:p>
        </w:tc>
        <w:tc>
          <w:tcPr>
            <w:tcW w:w="2126" w:type="dxa"/>
            <w:vAlign w:val="center"/>
          </w:tcPr>
          <w:p>
            <w:pPr>
              <w:pStyle w:val="16"/>
            </w:pPr>
            <w:r>
              <w:t>148.01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978河北曲阳经济开发区管理委员会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148.01</w:t>
            </w:r>
          </w:p>
        </w:tc>
        <w:tc>
          <w:tcPr>
            <w:tcW w:w="1134" w:type="dxa"/>
            <w:vAlign w:val="center"/>
          </w:tcPr>
          <w:p>
            <w:pPr>
              <w:pStyle w:val="16"/>
            </w:pPr>
            <w:r>
              <w:t>148.01</w:t>
            </w:r>
          </w:p>
        </w:tc>
        <w:tc>
          <w:tcPr>
            <w:tcW w:w="1134" w:type="dxa"/>
            <w:vAlign w:val="center"/>
          </w:tcPr>
          <w:p>
            <w:pPr>
              <w:pStyle w:val="16"/>
            </w:pPr>
            <w:r>
              <w:t>148.01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145.59</w:t>
            </w:r>
          </w:p>
        </w:tc>
        <w:tc>
          <w:tcPr>
            <w:tcW w:w="1134" w:type="dxa"/>
            <w:vAlign w:val="center"/>
          </w:tcPr>
          <w:p>
            <w:pPr>
              <w:pStyle w:val="12"/>
            </w:pPr>
            <w:r>
              <w:t>145.59</w:t>
            </w:r>
          </w:p>
        </w:tc>
        <w:tc>
          <w:tcPr>
            <w:tcW w:w="1134" w:type="dxa"/>
            <w:vAlign w:val="center"/>
          </w:tcPr>
          <w:p>
            <w:pPr>
              <w:pStyle w:val="12"/>
            </w:pPr>
            <w:r>
              <w:t>145.59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145.59</w:t>
            </w:r>
          </w:p>
        </w:tc>
        <w:tc>
          <w:tcPr>
            <w:tcW w:w="1134" w:type="dxa"/>
            <w:vAlign w:val="center"/>
          </w:tcPr>
          <w:p>
            <w:pPr>
              <w:pStyle w:val="12"/>
            </w:pPr>
            <w:r>
              <w:t>145.59</w:t>
            </w:r>
          </w:p>
        </w:tc>
        <w:tc>
          <w:tcPr>
            <w:tcW w:w="1134" w:type="dxa"/>
            <w:vAlign w:val="center"/>
          </w:tcPr>
          <w:p>
            <w:pPr>
              <w:pStyle w:val="12"/>
            </w:pPr>
            <w:r>
              <w:t>145.59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138.00</w:t>
            </w:r>
          </w:p>
        </w:tc>
        <w:tc>
          <w:tcPr>
            <w:tcW w:w="1134" w:type="dxa"/>
            <w:vAlign w:val="center"/>
          </w:tcPr>
          <w:p>
            <w:pPr>
              <w:pStyle w:val="12"/>
            </w:pPr>
            <w:r>
              <w:t>138.00</w:t>
            </w:r>
          </w:p>
        </w:tc>
        <w:tc>
          <w:tcPr>
            <w:tcW w:w="1134" w:type="dxa"/>
            <w:vAlign w:val="center"/>
          </w:tcPr>
          <w:p>
            <w:pPr>
              <w:pStyle w:val="12"/>
            </w:pPr>
            <w:r>
              <w:t>138.00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7.59</w:t>
            </w:r>
          </w:p>
        </w:tc>
        <w:tc>
          <w:tcPr>
            <w:tcW w:w="1134" w:type="dxa"/>
            <w:vAlign w:val="center"/>
          </w:tcPr>
          <w:p>
            <w:pPr>
              <w:pStyle w:val="12"/>
            </w:pPr>
            <w:r>
              <w:t>7.59</w:t>
            </w:r>
          </w:p>
        </w:tc>
        <w:tc>
          <w:tcPr>
            <w:tcW w:w="1134" w:type="dxa"/>
            <w:vAlign w:val="center"/>
          </w:tcPr>
          <w:p>
            <w:pPr>
              <w:pStyle w:val="12"/>
            </w:pPr>
            <w:r>
              <w:t>7.59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1.03</w:t>
            </w:r>
          </w:p>
        </w:tc>
        <w:tc>
          <w:tcPr>
            <w:tcW w:w="1134" w:type="dxa"/>
            <w:vAlign w:val="center"/>
          </w:tcPr>
          <w:p>
            <w:pPr>
              <w:pStyle w:val="12"/>
            </w:pPr>
            <w:r>
              <w:t>1.03</w:t>
            </w:r>
          </w:p>
        </w:tc>
        <w:tc>
          <w:tcPr>
            <w:tcW w:w="1134" w:type="dxa"/>
            <w:vAlign w:val="center"/>
          </w:tcPr>
          <w:p>
            <w:pPr>
              <w:pStyle w:val="12"/>
            </w:pPr>
            <w:r>
              <w:t>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1.03</w:t>
            </w:r>
          </w:p>
        </w:tc>
        <w:tc>
          <w:tcPr>
            <w:tcW w:w="1134" w:type="dxa"/>
            <w:vAlign w:val="center"/>
          </w:tcPr>
          <w:p>
            <w:pPr>
              <w:pStyle w:val="12"/>
            </w:pPr>
            <w:r>
              <w:t>1.03</w:t>
            </w:r>
          </w:p>
        </w:tc>
        <w:tc>
          <w:tcPr>
            <w:tcW w:w="1134" w:type="dxa"/>
            <w:vAlign w:val="center"/>
          </w:tcPr>
          <w:p>
            <w:pPr>
              <w:pStyle w:val="12"/>
            </w:pPr>
            <w:r>
              <w:t>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1.03</w:t>
            </w:r>
          </w:p>
        </w:tc>
        <w:tc>
          <w:tcPr>
            <w:tcW w:w="1134" w:type="dxa"/>
            <w:vAlign w:val="center"/>
          </w:tcPr>
          <w:p>
            <w:pPr>
              <w:pStyle w:val="12"/>
            </w:pPr>
            <w:r>
              <w:t>1.03</w:t>
            </w:r>
          </w:p>
        </w:tc>
        <w:tc>
          <w:tcPr>
            <w:tcW w:w="1134" w:type="dxa"/>
            <w:vAlign w:val="center"/>
          </w:tcPr>
          <w:p>
            <w:pPr>
              <w:pStyle w:val="12"/>
            </w:pPr>
            <w:r>
              <w:t>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0.62</w:t>
            </w:r>
          </w:p>
        </w:tc>
        <w:tc>
          <w:tcPr>
            <w:tcW w:w="1134" w:type="dxa"/>
            <w:vAlign w:val="center"/>
          </w:tcPr>
          <w:p>
            <w:pPr>
              <w:pStyle w:val="12"/>
            </w:pPr>
            <w:r>
              <w:t>0.62</w:t>
            </w:r>
          </w:p>
        </w:tc>
        <w:tc>
          <w:tcPr>
            <w:tcW w:w="1134" w:type="dxa"/>
            <w:vAlign w:val="center"/>
          </w:tcPr>
          <w:p>
            <w:pPr>
              <w:pStyle w:val="12"/>
            </w:pPr>
            <w:r>
              <w:t>0.62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0.62</w:t>
            </w:r>
          </w:p>
        </w:tc>
        <w:tc>
          <w:tcPr>
            <w:tcW w:w="1134" w:type="dxa"/>
            <w:vAlign w:val="center"/>
          </w:tcPr>
          <w:p>
            <w:pPr>
              <w:pStyle w:val="12"/>
            </w:pPr>
            <w:r>
              <w:t>0.62</w:t>
            </w:r>
          </w:p>
        </w:tc>
        <w:tc>
          <w:tcPr>
            <w:tcW w:w="1134" w:type="dxa"/>
            <w:vAlign w:val="center"/>
          </w:tcPr>
          <w:p>
            <w:pPr>
              <w:pStyle w:val="12"/>
            </w:pPr>
            <w:r>
              <w:t>0.62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0.47</w:t>
            </w:r>
          </w:p>
        </w:tc>
        <w:tc>
          <w:tcPr>
            <w:tcW w:w="1134" w:type="dxa"/>
            <w:vAlign w:val="center"/>
          </w:tcPr>
          <w:p>
            <w:pPr>
              <w:pStyle w:val="12"/>
            </w:pPr>
            <w:r>
              <w:t>0.47</w:t>
            </w:r>
          </w:p>
        </w:tc>
        <w:tc>
          <w:tcPr>
            <w:tcW w:w="1134" w:type="dxa"/>
            <w:vAlign w:val="center"/>
          </w:tcPr>
          <w:p>
            <w:pPr>
              <w:pStyle w:val="12"/>
            </w:pPr>
            <w:r>
              <w:t>0.47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0.15</w:t>
            </w:r>
          </w:p>
        </w:tc>
        <w:tc>
          <w:tcPr>
            <w:tcW w:w="1134" w:type="dxa"/>
            <w:vAlign w:val="center"/>
          </w:tcPr>
          <w:p>
            <w:pPr>
              <w:pStyle w:val="12"/>
            </w:pPr>
            <w:r>
              <w:t>0.15</w:t>
            </w:r>
          </w:p>
        </w:tc>
        <w:tc>
          <w:tcPr>
            <w:tcW w:w="1134" w:type="dxa"/>
            <w:vAlign w:val="center"/>
          </w:tcPr>
          <w:p>
            <w:pPr>
              <w:pStyle w:val="12"/>
            </w:pPr>
            <w:r>
              <w:t>0.15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0.77</w:t>
            </w:r>
          </w:p>
        </w:tc>
        <w:tc>
          <w:tcPr>
            <w:tcW w:w="1134" w:type="dxa"/>
            <w:vAlign w:val="center"/>
          </w:tcPr>
          <w:p>
            <w:pPr>
              <w:pStyle w:val="12"/>
            </w:pPr>
            <w:r>
              <w:t>0.77</w:t>
            </w:r>
          </w:p>
        </w:tc>
        <w:tc>
          <w:tcPr>
            <w:tcW w:w="1134" w:type="dxa"/>
            <w:vAlign w:val="center"/>
          </w:tcPr>
          <w:p>
            <w:pPr>
              <w:pStyle w:val="12"/>
            </w:pPr>
            <w:r>
              <w:t>0.77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0.77</w:t>
            </w:r>
          </w:p>
        </w:tc>
        <w:tc>
          <w:tcPr>
            <w:tcW w:w="1134" w:type="dxa"/>
            <w:vAlign w:val="center"/>
          </w:tcPr>
          <w:p>
            <w:pPr>
              <w:pStyle w:val="12"/>
            </w:pPr>
            <w:r>
              <w:t>0.77</w:t>
            </w:r>
          </w:p>
        </w:tc>
        <w:tc>
          <w:tcPr>
            <w:tcW w:w="1134" w:type="dxa"/>
            <w:vAlign w:val="center"/>
          </w:tcPr>
          <w:p>
            <w:pPr>
              <w:pStyle w:val="12"/>
            </w:pPr>
            <w:r>
              <w:t>0.77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0.77</w:t>
            </w:r>
          </w:p>
        </w:tc>
        <w:tc>
          <w:tcPr>
            <w:tcW w:w="1134" w:type="dxa"/>
            <w:vAlign w:val="center"/>
          </w:tcPr>
          <w:p>
            <w:pPr>
              <w:pStyle w:val="12"/>
            </w:pPr>
            <w:r>
              <w:t>0.77</w:t>
            </w:r>
          </w:p>
        </w:tc>
        <w:tc>
          <w:tcPr>
            <w:tcW w:w="1134" w:type="dxa"/>
            <w:vAlign w:val="center"/>
          </w:tcPr>
          <w:p>
            <w:pPr>
              <w:pStyle w:val="12"/>
            </w:pPr>
            <w:r>
              <w:t>0.77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978河北曲阳经济开发区管理委员会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148.01</w:t>
            </w:r>
          </w:p>
        </w:tc>
        <w:tc>
          <w:tcPr>
            <w:tcW w:w="1361" w:type="dxa"/>
            <w:vAlign w:val="center"/>
          </w:tcPr>
          <w:p>
            <w:pPr>
              <w:pStyle w:val="16"/>
            </w:pPr>
            <w:r>
              <w:t>10.01</w:t>
            </w:r>
          </w:p>
        </w:tc>
        <w:tc>
          <w:tcPr>
            <w:tcW w:w="1361" w:type="dxa"/>
            <w:vAlign w:val="center"/>
          </w:tcPr>
          <w:p>
            <w:pPr>
              <w:pStyle w:val="16"/>
            </w:pPr>
            <w:r>
              <w:t>138.00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145.59</w:t>
            </w:r>
          </w:p>
        </w:tc>
        <w:tc>
          <w:tcPr>
            <w:tcW w:w="1361" w:type="dxa"/>
            <w:vAlign w:val="center"/>
          </w:tcPr>
          <w:p>
            <w:pPr>
              <w:pStyle w:val="12"/>
            </w:pPr>
            <w:r>
              <w:t>7.59</w:t>
            </w:r>
          </w:p>
        </w:tc>
        <w:tc>
          <w:tcPr>
            <w:tcW w:w="1361" w:type="dxa"/>
            <w:vAlign w:val="center"/>
          </w:tcPr>
          <w:p>
            <w:pPr>
              <w:pStyle w:val="12"/>
            </w:pPr>
            <w:r>
              <w:t>138.00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145.59</w:t>
            </w:r>
          </w:p>
        </w:tc>
        <w:tc>
          <w:tcPr>
            <w:tcW w:w="1361" w:type="dxa"/>
            <w:vAlign w:val="center"/>
          </w:tcPr>
          <w:p>
            <w:pPr>
              <w:pStyle w:val="12"/>
            </w:pPr>
            <w:r>
              <w:t>7.59</w:t>
            </w:r>
          </w:p>
        </w:tc>
        <w:tc>
          <w:tcPr>
            <w:tcW w:w="1361" w:type="dxa"/>
            <w:vAlign w:val="center"/>
          </w:tcPr>
          <w:p>
            <w:pPr>
              <w:pStyle w:val="12"/>
            </w:pPr>
            <w:r>
              <w:t>138.00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138.00</w:t>
            </w:r>
          </w:p>
        </w:tc>
        <w:tc>
          <w:tcPr>
            <w:tcW w:w="1361" w:type="dxa"/>
            <w:vAlign w:val="center"/>
          </w:tcPr>
          <w:p>
            <w:pPr>
              <w:pStyle w:val="12"/>
            </w:pPr>
          </w:p>
        </w:tc>
        <w:tc>
          <w:tcPr>
            <w:tcW w:w="1361" w:type="dxa"/>
            <w:vAlign w:val="center"/>
          </w:tcPr>
          <w:p>
            <w:pPr>
              <w:pStyle w:val="12"/>
            </w:pPr>
            <w:r>
              <w:t>138.00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7.59</w:t>
            </w:r>
          </w:p>
        </w:tc>
        <w:tc>
          <w:tcPr>
            <w:tcW w:w="1361" w:type="dxa"/>
            <w:vAlign w:val="center"/>
          </w:tcPr>
          <w:p>
            <w:pPr>
              <w:pStyle w:val="12"/>
            </w:pPr>
            <w:r>
              <w:t>7.59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1.03</w:t>
            </w:r>
          </w:p>
        </w:tc>
        <w:tc>
          <w:tcPr>
            <w:tcW w:w="1361" w:type="dxa"/>
            <w:vAlign w:val="center"/>
          </w:tcPr>
          <w:p>
            <w:pPr>
              <w:pStyle w:val="12"/>
            </w:pPr>
            <w:r>
              <w:t>1.03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1.03</w:t>
            </w:r>
          </w:p>
        </w:tc>
        <w:tc>
          <w:tcPr>
            <w:tcW w:w="1361" w:type="dxa"/>
            <w:vAlign w:val="center"/>
          </w:tcPr>
          <w:p>
            <w:pPr>
              <w:pStyle w:val="12"/>
            </w:pPr>
            <w:r>
              <w:t>1.03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1.03</w:t>
            </w:r>
          </w:p>
        </w:tc>
        <w:tc>
          <w:tcPr>
            <w:tcW w:w="1361" w:type="dxa"/>
            <w:vAlign w:val="center"/>
          </w:tcPr>
          <w:p>
            <w:pPr>
              <w:pStyle w:val="12"/>
            </w:pPr>
            <w:r>
              <w:t>1.03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0.62</w:t>
            </w:r>
          </w:p>
        </w:tc>
        <w:tc>
          <w:tcPr>
            <w:tcW w:w="1361" w:type="dxa"/>
            <w:vAlign w:val="center"/>
          </w:tcPr>
          <w:p>
            <w:pPr>
              <w:pStyle w:val="12"/>
            </w:pPr>
            <w:r>
              <w:t>0.62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0.62</w:t>
            </w:r>
          </w:p>
        </w:tc>
        <w:tc>
          <w:tcPr>
            <w:tcW w:w="1361" w:type="dxa"/>
            <w:vAlign w:val="center"/>
          </w:tcPr>
          <w:p>
            <w:pPr>
              <w:pStyle w:val="12"/>
            </w:pPr>
            <w:r>
              <w:t>0.62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0.47</w:t>
            </w:r>
          </w:p>
        </w:tc>
        <w:tc>
          <w:tcPr>
            <w:tcW w:w="1361" w:type="dxa"/>
            <w:vAlign w:val="center"/>
          </w:tcPr>
          <w:p>
            <w:pPr>
              <w:pStyle w:val="12"/>
            </w:pPr>
            <w:r>
              <w:t>0.47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0.15</w:t>
            </w:r>
          </w:p>
        </w:tc>
        <w:tc>
          <w:tcPr>
            <w:tcW w:w="1361" w:type="dxa"/>
            <w:vAlign w:val="center"/>
          </w:tcPr>
          <w:p>
            <w:pPr>
              <w:pStyle w:val="12"/>
            </w:pPr>
            <w:r>
              <w:t>0.15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0.77</w:t>
            </w:r>
          </w:p>
        </w:tc>
        <w:tc>
          <w:tcPr>
            <w:tcW w:w="1361" w:type="dxa"/>
            <w:vAlign w:val="center"/>
          </w:tcPr>
          <w:p>
            <w:pPr>
              <w:pStyle w:val="12"/>
            </w:pPr>
            <w:r>
              <w:t>0.77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0.77</w:t>
            </w:r>
          </w:p>
        </w:tc>
        <w:tc>
          <w:tcPr>
            <w:tcW w:w="1361" w:type="dxa"/>
            <w:vAlign w:val="center"/>
          </w:tcPr>
          <w:p>
            <w:pPr>
              <w:pStyle w:val="12"/>
            </w:pPr>
            <w:r>
              <w:t>0.77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0.77</w:t>
            </w:r>
          </w:p>
        </w:tc>
        <w:tc>
          <w:tcPr>
            <w:tcW w:w="1361" w:type="dxa"/>
            <w:vAlign w:val="center"/>
          </w:tcPr>
          <w:p>
            <w:pPr>
              <w:pStyle w:val="12"/>
            </w:pPr>
            <w:r>
              <w:t>0.77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978河北曲阳经济开发区管理委员会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148.01</w:t>
            </w:r>
          </w:p>
        </w:tc>
        <w:tc>
          <w:tcPr>
            <w:tcW w:w="3402" w:type="dxa"/>
            <w:vAlign w:val="center"/>
          </w:tcPr>
          <w:p>
            <w:pPr>
              <w:pStyle w:val="13"/>
            </w:pPr>
            <w:r>
              <w:t>一、一般公共服务支出</w:t>
            </w:r>
          </w:p>
        </w:tc>
        <w:tc>
          <w:tcPr>
            <w:tcW w:w="1474" w:type="dxa"/>
            <w:vAlign w:val="center"/>
          </w:tcPr>
          <w:p>
            <w:pPr>
              <w:pStyle w:val="12"/>
            </w:pPr>
            <w:r>
              <w:t>145.59</w:t>
            </w:r>
          </w:p>
        </w:tc>
        <w:tc>
          <w:tcPr>
            <w:tcW w:w="1474" w:type="dxa"/>
            <w:vAlign w:val="center"/>
          </w:tcPr>
          <w:p>
            <w:pPr>
              <w:pStyle w:val="12"/>
            </w:pPr>
            <w:r>
              <w:t>145.59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1.03</w:t>
            </w:r>
          </w:p>
        </w:tc>
        <w:tc>
          <w:tcPr>
            <w:tcW w:w="1474" w:type="dxa"/>
            <w:vAlign w:val="center"/>
          </w:tcPr>
          <w:p>
            <w:pPr>
              <w:pStyle w:val="12"/>
            </w:pPr>
            <w:r>
              <w:t>1.03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0.62</w:t>
            </w:r>
          </w:p>
        </w:tc>
        <w:tc>
          <w:tcPr>
            <w:tcW w:w="1474" w:type="dxa"/>
            <w:vAlign w:val="center"/>
          </w:tcPr>
          <w:p>
            <w:pPr>
              <w:pStyle w:val="12"/>
            </w:pPr>
            <w:r>
              <w:t>0.62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0.77</w:t>
            </w:r>
          </w:p>
        </w:tc>
        <w:tc>
          <w:tcPr>
            <w:tcW w:w="1474" w:type="dxa"/>
            <w:vAlign w:val="center"/>
          </w:tcPr>
          <w:p>
            <w:pPr>
              <w:pStyle w:val="12"/>
            </w:pPr>
            <w:r>
              <w:t>0.77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148.01</w:t>
            </w:r>
          </w:p>
        </w:tc>
        <w:tc>
          <w:tcPr>
            <w:tcW w:w="3402" w:type="dxa"/>
            <w:vAlign w:val="center"/>
          </w:tcPr>
          <w:p>
            <w:pPr>
              <w:pStyle w:val="15"/>
            </w:pPr>
            <w:r>
              <w:t>本年支出合计</w:t>
            </w:r>
          </w:p>
        </w:tc>
        <w:tc>
          <w:tcPr>
            <w:tcW w:w="1474" w:type="dxa"/>
            <w:vAlign w:val="center"/>
          </w:tcPr>
          <w:p>
            <w:pPr>
              <w:pStyle w:val="16"/>
            </w:pPr>
            <w:r>
              <w:t>148.01</w:t>
            </w:r>
          </w:p>
        </w:tc>
        <w:tc>
          <w:tcPr>
            <w:tcW w:w="1474" w:type="dxa"/>
            <w:vAlign w:val="center"/>
          </w:tcPr>
          <w:p>
            <w:pPr>
              <w:pStyle w:val="16"/>
            </w:pPr>
            <w:r>
              <w:t>148.01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148.01</w:t>
            </w:r>
          </w:p>
        </w:tc>
        <w:tc>
          <w:tcPr>
            <w:tcW w:w="3402" w:type="dxa"/>
            <w:vAlign w:val="center"/>
          </w:tcPr>
          <w:p>
            <w:pPr>
              <w:pStyle w:val="15"/>
            </w:pPr>
            <w:r>
              <w:t>支出总计</w:t>
            </w:r>
          </w:p>
        </w:tc>
        <w:tc>
          <w:tcPr>
            <w:tcW w:w="1474" w:type="dxa"/>
            <w:vAlign w:val="center"/>
          </w:tcPr>
          <w:p>
            <w:pPr>
              <w:pStyle w:val="16"/>
            </w:pPr>
            <w:r>
              <w:t>148.01</w:t>
            </w:r>
          </w:p>
        </w:tc>
        <w:tc>
          <w:tcPr>
            <w:tcW w:w="1474" w:type="dxa"/>
            <w:vAlign w:val="center"/>
          </w:tcPr>
          <w:p>
            <w:pPr>
              <w:pStyle w:val="16"/>
            </w:pPr>
            <w:r>
              <w:t>148.01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978河北曲阳经济开发区管理委员会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148.01</w:t>
            </w:r>
          </w:p>
        </w:tc>
        <w:tc>
          <w:tcPr>
            <w:tcW w:w="2551" w:type="dxa"/>
            <w:vAlign w:val="center"/>
          </w:tcPr>
          <w:p>
            <w:pPr>
              <w:pStyle w:val="16"/>
            </w:pPr>
            <w:r>
              <w:t>10.01</w:t>
            </w:r>
          </w:p>
        </w:tc>
        <w:tc>
          <w:tcPr>
            <w:tcW w:w="2551" w:type="dxa"/>
            <w:vAlign w:val="center"/>
          </w:tcPr>
          <w:p>
            <w:pPr>
              <w:pStyle w:val="16"/>
            </w:pPr>
            <w:r>
              <w:t>138.00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145.59</w:t>
            </w:r>
          </w:p>
        </w:tc>
        <w:tc>
          <w:tcPr>
            <w:tcW w:w="2551" w:type="dxa"/>
            <w:vAlign w:val="center"/>
          </w:tcPr>
          <w:p>
            <w:pPr>
              <w:pStyle w:val="12"/>
            </w:pPr>
            <w:r>
              <w:t>7.59</w:t>
            </w:r>
          </w:p>
        </w:tc>
        <w:tc>
          <w:tcPr>
            <w:tcW w:w="2551" w:type="dxa"/>
            <w:vAlign w:val="center"/>
          </w:tcPr>
          <w:p>
            <w:pPr>
              <w:pStyle w:val="12"/>
            </w:pPr>
            <w:r>
              <w:t>138.00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145.59</w:t>
            </w:r>
          </w:p>
        </w:tc>
        <w:tc>
          <w:tcPr>
            <w:tcW w:w="2551" w:type="dxa"/>
            <w:vAlign w:val="center"/>
          </w:tcPr>
          <w:p>
            <w:pPr>
              <w:pStyle w:val="12"/>
            </w:pPr>
            <w:r>
              <w:t>7.59</w:t>
            </w:r>
          </w:p>
        </w:tc>
        <w:tc>
          <w:tcPr>
            <w:tcW w:w="2551" w:type="dxa"/>
            <w:vAlign w:val="center"/>
          </w:tcPr>
          <w:p>
            <w:pPr>
              <w:pStyle w:val="12"/>
            </w:pPr>
            <w:r>
              <w:t>138.00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138.00</w:t>
            </w:r>
          </w:p>
        </w:tc>
        <w:tc>
          <w:tcPr>
            <w:tcW w:w="2551" w:type="dxa"/>
            <w:vAlign w:val="center"/>
          </w:tcPr>
          <w:p>
            <w:pPr>
              <w:pStyle w:val="12"/>
            </w:pPr>
          </w:p>
        </w:tc>
        <w:tc>
          <w:tcPr>
            <w:tcW w:w="2551" w:type="dxa"/>
            <w:vAlign w:val="center"/>
          </w:tcPr>
          <w:p>
            <w:pPr>
              <w:pStyle w:val="12"/>
            </w:pPr>
            <w:r>
              <w:t>138.00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7.59</w:t>
            </w:r>
          </w:p>
        </w:tc>
        <w:tc>
          <w:tcPr>
            <w:tcW w:w="2551" w:type="dxa"/>
            <w:vAlign w:val="center"/>
          </w:tcPr>
          <w:p>
            <w:pPr>
              <w:pStyle w:val="12"/>
            </w:pPr>
            <w:r>
              <w:t>7.59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1.03</w:t>
            </w:r>
          </w:p>
        </w:tc>
        <w:tc>
          <w:tcPr>
            <w:tcW w:w="2551" w:type="dxa"/>
            <w:vAlign w:val="center"/>
          </w:tcPr>
          <w:p>
            <w:pPr>
              <w:pStyle w:val="12"/>
            </w:pPr>
            <w:r>
              <w:t>1.03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1.03</w:t>
            </w:r>
          </w:p>
        </w:tc>
        <w:tc>
          <w:tcPr>
            <w:tcW w:w="2551" w:type="dxa"/>
            <w:vAlign w:val="center"/>
          </w:tcPr>
          <w:p>
            <w:pPr>
              <w:pStyle w:val="12"/>
            </w:pPr>
            <w:r>
              <w:t>1.03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1.03</w:t>
            </w:r>
          </w:p>
        </w:tc>
        <w:tc>
          <w:tcPr>
            <w:tcW w:w="2551" w:type="dxa"/>
            <w:vAlign w:val="center"/>
          </w:tcPr>
          <w:p>
            <w:pPr>
              <w:pStyle w:val="12"/>
            </w:pPr>
            <w:r>
              <w:t>1.03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0.62</w:t>
            </w:r>
          </w:p>
        </w:tc>
        <w:tc>
          <w:tcPr>
            <w:tcW w:w="2551" w:type="dxa"/>
            <w:vAlign w:val="center"/>
          </w:tcPr>
          <w:p>
            <w:pPr>
              <w:pStyle w:val="12"/>
            </w:pPr>
            <w:r>
              <w:t>0.62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0.62</w:t>
            </w:r>
          </w:p>
        </w:tc>
        <w:tc>
          <w:tcPr>
            <w:tcW w:w="2551" w:type="dxa"/>
            <w:vAlign w:val="center"/>
          </w:tcPr>
          <w:p>
            <w:pPr>
              <w:pStyle w:val="12"/>
            </w:pPr>
            <w:r>
              <w:t>0.62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0.47</w:t>
            </w:r>
          </w:p>
        </w:tc>
        <w:tc>
          <w:tcPr>
            <w:tcW w:w="2551" w:type="dxa"/>
            <w:vAlign w:val="center"/>
          </w:tcPr>
          <w:p>
            <w:pPr>
              <w:pStyle w:val="12"/>
            </w:pPr>
            <w:r>
              <w:t>0.47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0.15</w:t>
            </w:r>
          </w:p>
        </w:tc>
        <w:tc>
          <w:tcPr>
            <w:tcW w:w="2551" w:type="dxa"/>
            <w:vAlign w:val="center"/>
          </w:tcPr>
          <w:p>
            <w:pPr>
              <w:pStyle w:val="12"/>
            </w:pPr>
            <w:r>
              <w:t>0.15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0.77</w:t>
            </w:r>
          </w:p>
        </w:tc>
        <w:tc>
          <w:tcPr>
            <w:tcW w:w="2551" w:type="dxa"/>
            <w:vAlign w:val="center"/>
          </w:tcPr>
          <w:p>
            <w:pPr>
              <w:pStyle w:val="12"/>
            </w:pPr>
            <w:r>
              <w:t>0.77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0.77</w:t>
            </w:r>
          </w:p>
        </w:tc>
        <w:tc>
          <w:tcPr>
            <w:tcW w:w="2551" w:type="dxa"/>
            <w:vAlign w:val="center"/>
          </w:tcPr>
          <w:p>
            <w:pPr>
              <w:pStyle w:val="12"/>
            </w:pPr>
            <w:r>
              <w:t>0.77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0.77</w:t>
            </w:r>
          </w:p>
        </w:tc>
        <w:tc>
          <w:tcPr>
            <w:tcW w:w="2551" w:type="dxa"/>
            <w:vAlign w:val="center"/>
          </w:tcPr>
          <w:p>
            <w:pPr>
              <w:pStyle w:val="12"/>
            </w:pPr>
            <w:r>
              <w:t>0.77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978河北曲阳经济开发区管理委员会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10.01</w:t>
            </w:r>
          </w:p>
        </w:tc>
        <w:tc>
          <w:tcPr>
            <w:tcW w:w="2551" w:type="dxa"/>
            <w:vAlign w:val="center"/>
          </w:tcPr>
          <w:p>
            <w:pPr>
              <w:pStyle w:val="16"/>
            </w:pPr>
            <w:r>
              <w:t>10.01</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10.01</w:t>
            </w:r>
          </w:p>
        </w:tc>
        <w:tc>
          <w:tcPr>
            <w:tcW w:w="2551" w:type="dxa"/>
            <w:vAlign w:val="center"/>
          </w:tcPr>
          <w:p>
            <w:pPr>
              <w:pStyle w:val="12"/>
            </w:pPr>
            <w:r>
              <w:t>10.01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4.29</w:t>
            </w:r>
          </w:p>
        </w:tc>
        <w:tc>
          <w:tcPr>
            <w:tcW w:w="2551" w:type="dxa"/>
            <w:vAlign w:val="center"/>
          </w:tcPr>
          <w:p>
            <w:pPr>
              <w:pStyle w:val="12"/>
            </w:pPr>
            <w:r>
              <w:t>4.29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0.74</w:t>
            </w:r>
          </w:p>
        </w:tc>
        <w:tc>
          <w:tcPr>
            <w:tcW w:w="2551" w:type="dxa"/>
            <w:vAlign w:val="center"/>
          </w:tcPr>
          <w:p>
            <w:pPr>
              <w:pStyle w:val="12"/>
            </w:pPr>
            <w:r>
              <w:t>0.74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2.46</w:t>
            </w:r>
          </w:p>
        </w:tc>
        <w:tc>
          <w:tcPr>
            <w:tcW w:w="2551" w:type="dxa"/>
            <w:vAlign w:val="center"/>
          </w:tcPr>
          <w:p>
            <w:pPr>
              <w:pStyle w:val="12"/>
            </w:pPr>
            <w:r>
              <w:t>2.46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1.03</w:t>
            </w:r>
          </w:p>
        </w:tc>
        <w:tc>
          <w:tcPr>
            <w:tcW w:w="2551" w:type="dxa"/>
            <w:vAlign w:val="center"/>
          </w:tcPr>
          <w:p>
            <w:pPr>
              <w:pStyle w:val="12"/>
            </w:pPr>
            <w:r>
              <w:t>1.03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0.47</w:t>
            </w:r>
          </w:p>
        </w:tc>
        <w:tc>
          <w:tcPr>
            <w:tcW w:w="2551" w:type="dxa"/>
            <w:vAlign w:val="center"/>
          </w:tcPr>
          <w:p>
            <w:pPr>
              <w:pStyle w:val="12"/>
            </w:pPr>
            <w:r>
              <w:t>0.47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0.15</w:t>
            </w:r>
          </w:p>
        </w:tc>
        <w:tc>
          <w:tcPr>
            <w:tcW w:w="2551" w:type="dxa"/>
            <w:vAlign w:val="center"/>
          </w:tcPr>
          <w:p>
            <w:pPr>
              <w:pStyle w:val="12"/>
            </w:pPr>
            <w:r>
              <w:t>0.15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0.10</w:t>
            </w:r>
          </w:p>
        </w:tc>
        <w:tc>
          <w:tcPr>
            <w:tcW w:w="2551" w:type="dxa"/>
            <w:vAlign w:val="center"/>
          </w:tcPr>
          <w:p>
            <w:pPr>
              <w:pStyle w:val="12"/>
            </w:pPr>
            <w:r>
              <w:t>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0.77</w:t>
            </w:r>
          </w:p>
        </w:tc>
        <w:tc>
          <w:tcPr>
            <w:tcW w:w="2551" w:type="dxa"/>
            <w:vAlign w:val="center"/>
          </w:tcPr>
          <w:p>
            <w:pPr>
              <w:pStyle w:val="12"/>
            </w:pPr>
            <w:r>
              <w:t>0.77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978河北曲阳经济开发区管理委员会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978河北曲阳经济开发区管理委员会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978河北曲阳经济开发区管理委员会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48.00</w:t>
            </w:r>
          </w:p>
        </w:tc>
        <w:tc>
          <w:tcPr>
            <w:tcW w:w="2381" w:type="dxa"/>
            <w:vAlign w:val="center"/>
          </w:tcPr>
          <w:p>
            <w:pPr>
              <w:pStyle w:val="16"/>
            </w:pPr>
            <w:r>
              <w:t>48.00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48.00</w:t>
            </w:r>
          </w:p>
        </w:tc>
        <w:tc>
          <w:tcPr>
            <w:tcW w:w="2381" w:type="dxa"/>
            <w:vAlign w:val="center"/>
          </w:tcPr>
          <w:p>
            <w:pPr>
              <w:pStyle w:val="12"/>
            </w:pPr>
            <w:r>
              <w:t>48.00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r>
              <w:t>30.00</w:t>
            </w:r>
          </w:p>
        </w:tc>
        <w:tc>
          <w:tcPr>
            <w:tcW w:w="2381" w:type="dxa"/>
            <w:vAlign w:val="center"/>
          </w:tcPr>
          <w:p>
            <w:pPr>
              <w:pStyle w:val="12"/>
            </w:pPr>
            <w:r>
              <w:t>30.00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河北曲阳经济开发区管理委员会2025年部门预算信息公开情况说明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河北曲阳经济开发区管理委员会2025年部门预算信息公开情况说明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按照《中华人民共和国预算法》、《地方预决算公开操作规程》和《关于进一步推进预算公开工作的实施意见》规定，现将河北曲阳经济开发区管理委员会2025年部门预算公开如下：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根据《河北曲阳经济开发区管理委员会职能配置、内设机构和人员编制规定》，河北曲阳经济开发区管理委员会的主要职责是：</w:t>
      </w:r>
    </w:p>
    <w:p>
      <w:pPr>
        <w:pStyle w:val="18"/>
      </w:pPr>
      <w:r>
        <w:t>(一)贯彻落实党和国家的路线、方针、政策和上级党委、政府的决策部署；依据有关法律、法规和规章，制定和实施开发 区各项管理制度。</w:t>
      </w:r>
    </w:p>
    <w:p>
      <w:pPr>
        <w:pStyle w:val="18"/>
      </w:pPr>
      <w:r>
        <w:t>(二)负责落实全面从严治党责任，加强党风廉政建设；按照授权和干部管理权限负责辖区内干部管理；负责党的建设、宣传和精神文明建设工作；负责机构编制、人事管理和人才队伍建设工作；负责领导辖区工会、共青团、妇联等群团工作；指导辖区企业党的基层组织建设工作；协同属地和有关部门协调做好辖区内社会治安综合治理和维护稳定等社会事务工作。</w:t>
      </w:r>
    </w:p>
    <w:p>
      <w:pPr>
        <w:pStyle w:val="18"/>
      </w:pPr>
      <w:r>
        <w:t>(三)负责组织实施省、市、县开发区总体发展规划和政策措施，编制开发区经济社会发展、产业发展等相关规划，经批准 后组织实施。</w:t>
      </w:r>
    </w:p>
    <w:p>
      <w:pPr>
        <w:pStyle w:val="18"/>
      </w:pPr>
      <w:r>
        <w:t>(四)负责研究辖区内重大经济社会发展事宜，负责经济发展指标的统计分析，做好投资项目的决策咨询、综合验收和管理服务等工作；负责辖区内投资服务、项目建设、经济管理、科技 创新等经济发展功能的综合协调服务工作。</w:t>
      </w:r>
    </w:p>
    <w:p>
      <w:pPr>
        <w:pStyle w:val="18"/>
      </w:pPr>
      <w:r>
        <w:t>(五)负责优化营商环境，健全招商引资制度，建立招商引资服务体系；负责招商引资、产业培育、对外经济技术合作和其他涉外经济活动等工作；发布公共信息，为企业和相关机构提供 指导、咨询和服务。</w:t>
      </w:r>
    </w:p>
    <w:p>
      <w:pPr>
        <w:pStyle w:val="18"/>
      </w:pPr>
      <w:r>
        <w:t>(六)制定科技创新政策和管理规定并组织实施，培育和弓进高新技术企业、研发机构和科技产业化服务中介组织；负责指导高新技术企业、高新技术产品、科技型中小企业培育工作，负责 开发区专利、知识产权事务的协调和管理工作。</w:t>
      </w:r>
    </w:p>
    <w:p>
      <w:pPr>
        <w:pStyle w:val="18"/>
      </w:pPr>
      <w:r>
        <w:t>(七)负责辖区内财政管理，实施财政预算、决算、国有资 产管理和财政监督工作。</w:t>
      </w:r>
    </w:p>
    <w:p>
      <w:pPr>
        <w:pStyle w:val="18"/>
      </w:pPr>
      <w:r>
        <w:t>(八)配合有关部门做好自然资源和区域规划工作，协同有关部门做好辖区内安全生产、应急管理、生态环境等工作。</w:t>
      </w:r>
    </w:p>
    <w:p>
      <w:pPr>
        <w:pStyle w:val="18"/>
      </w:pPr>
      <w:r>
        <w:t>(九)协调落实辖区内基础设施和公共服务设施的建设和管理。</w:t>
      </w:r>
    </w:p>
    <w:p>
      <w:pPr>
        <w:pStyle w:val="18"/>
      </w:pPr>
      <w:r>
        <w:t>(十)深化“放管服”改革，负责承接落实上级下放的行政权力事项，行使县委、县政府赋予的其他管理权限。</w:t>
      </w:r>
    </w:p>
    <w:p>
      <w:pPr>
        <w:pStyle w:val="18"/>
      </w:pPr>
      <w:r>
        <w:t>(十一)负责协调辖区内上级有关部门派驻机构的工作。</w:t>
      </w:r>
    </w:p>
    <w:p>
      <w:pPr>
        <w:pStyle w:val="18"/>
      </w:pPr>
      <w:r>
        <w:t>(十二)负责县委、县政府交办的其他事项。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河北曲阳经济开发区管理委员会</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按照预算管理有关规定，目前部门预算的编制实行综合预算管理，即全部收入和支出都反映在预算中。河北曲阳经济开发区管理委员会机关及所属事业单位的收支包含在部门预算中。</w:t>
      </w:r>
    </w:p>
    <w:p>
      <w:pPr>
        <w:pStyle w:val="19"/>
      </w:pPr>
      <w:r>
        <w:t>1、收入说明</w:t>
      </w:r>
    </w:p>
    <w:p>
      <w:pPr>
        <w:pStyle w:val="19"/>
      </w:pPr>
      <w:r>
        <w:t>反映本部门当年全部收入。2025年预算收入148.01万元，其中：一般公共预算收入148.01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河北曲阳经济开发区管理委员会年度部门预算中支出预算的总体情况。2025年支出预算148.01万元，其中基本支出10.01万元，包括人员经费10.01万元和日常公用经费0.00万元；项目支出138.00万元，主要为开发区公务用车购置经费18万元，招商引资专项业务费100万元，开发区工作经费20万元。</w:t>
      </w:r>
    </w:p>
    <w:p>
      <w:pPr>
        <w:pStyle w:val="19"/>
      </w:pPr>
      <w:r>
        <w:t>3、比上年增减情况</w:t>
      </w:r>
    </w:p>
    <w:p>
      <w:pPr>
        <w:pStyle w:val="19"/>
      </w:pPr>
      <w:r>
        <w:t>2025年预算收支安排148.01万元，较2024年预算增加148.01万元，其中：基本支出增加10.01万元，主要为人员经费，因为经开区是新成立部门，所以人员经费较上年增加10.01万元。项目支出增加138.00万元，主要为开发区公务用车购置经费18万元，招商引资专项业务费100万元，开发区工作经费20万元。因为经开区是新成立部门，所以项目经费增加138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rPr>
          <w:rFonts w:hint="eastAsia"/>
          <w:lang w:eastAsia="zh-CN"/>
        </w:rPr>
      </w:pPr>
      <w:r>
        <w:rPr>
          <w:rFonts w:hint="eastAsia" w:eastAsia="方正仿宋_GBK"/>
          <w:lang w:eastAsia="zh-CN"/>
        </w:rPr>
        <w:t>2025年，我部门机关运行经费共计安排0万元，主要用于日常维修、办公用房水电费、办公用房取暖费、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5</w:t>
      </w:r>
      <w:r>
        <w:t>年，我部门财政拨款“三公”经费预算安排</w:t>
      </w:r>
      <w:r>
        <w:rPr>
          <w:rFonts w:hint="eastAsia"/>
          <w:lang w:val="en-US" w:eastAsia="zh-CN"/>
        </w:rPr>
        <w:t>4</w:t>
      </w:r>
      <w:r>
        <w:t>8.00万元，其中因公出国（境）费0.00万元；公务用车购置及运维费</w:t>
      </w:r>
      <w:r>
        <w:rPr>
          <w:rFonts w:hint="eastAsia"/>
          <w:lang w:val="en-US" w:eastAsia="zh-CN"/>
        </w:rPr>
        <w:t>1</w:t>
      </w:r>
      <w:r>
        <w:t>8.00万元（其中：公务用车购置费为18.00万元，公务用车运维费0.00万元)；公务接待费</w:t>
      </w:r>
      <w:r>
        <w:rPr>
          <w:rFonts w:hint="eastAsia"/>
          <w:lang w:val="en-US" w:eastAsia="zh-CN"/>
        </w:rPr>
        <w:t>3</w:t>
      </w:r>
      <w:r>
        <w:t>0.00万元。与202</w:t>
      </w:r>
      <w:r>
        <w:rPr>
          <w:rFonts w:hint="eastAsia"/>
          <w:lang w:val="en-US" w:eastAsia="zh-CN"/>
        </w:rPr>
        <w:t>4</w:t>
      </w:r>
      <w:r>
        <w:t>年相比增加</w:t>
      </w:r>
      <w:r>
        <w:rPr>
          <w:rFonts w:hint="eastAsia"/>
          <w:lang w:val="en-US" w:eastAsia="zh-CN"/>
        </w:rPr>
        <w:t>4</w:t>
      </w:r>
      <w:r>
        <w:t>8.00万元，增减变化的主要原因是</w:t>
      </w:r>
      <w:r>
        <w:rPr>
          <w:rFonts w:hint="eastAsia"/>
          <w:lang w:eastAsia="zh-CN"/>
        </w:rPr>
        <w:t>我部门为新增预算部门，</w:t>
      </w:r>
      <w:r>
        <w:rPr>
          <w:rFonts w:hint="eastAsia"/>
          <w:lang w:val="en-US" w:eastAsia="zh-CN"/>
        </w:rPr>
        <w:t>根据单位工作需要，2025年需购置公车一辆，公务用车购置增加18万元，招商引资接待增加30万元。</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在县委、县政府的领导下，河北曲阳经开区以高质量发展为主题，通过完善基础设施、强化精准招商、加强沟通协调、推进项目落地等举措，努力将开发区打造成为县域经济发展主引擎。</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明确产业定位 结合我县开发区的资源优势以及“2+1”产业基础，明确以高端制造业、生物医药、新能源等战略性新兴产业为主要招商方向，围绕开发区及标准厂房建设契机，以五职招商为抓手，加强开发区双九通一平基础设设施建设，提高企业投资吸引力，打造具有核心竞争力的产业集群。</w:t>
      </w:r>
    </w:p>
    <w:p>
      <w:pPr>
        <w:pStyle w:val="23"/>
      </w:pPr>
      <w:r>
        <w:rPr>
          <w:rFonts w:hint="eastAsia"/>
          <w:lang w:val="en-US" w:eastAsia="zh-CN"/>
        </w:rPr>
        <w:t>2、</w:t>
      </w:r>
      <w:r>
        <w:t>强化精准招商 深入探究目标装备制造、工美用品制造、生物基材料和精细化工等产业的发展趋势和龙头企业的投资动向，制定个性化的招商方案及优惠政策，提高招商引资的针对性和实效性。积极开展产业链招商、以商招商、委托招商等多种招商方式，加大招商力度，拓宽招商渠道，提高招商效率，增加招商项目存量。</w:t>
      </w:r>
    </w:p>
    <w:p>
      <w:pPr>
        <w:pStyle w:val="23"/>
      </w:pPr>
      <w:r>
        <w:rPr>
          <w:rFonts w:hint="eastAsia"/>
          <w:lang w:val="en-US" w:eastAsia="zh-CN"/>
        </w:rPr>
        <w:t>3、</w:t>
      </w:r>
      <w:r>
        <w:t>推进项目落地、投产</w:t>
      </w:r>
    </w:p>
    <w:p>
      <w:pPr>
        <w:pStyle w:val="23"/>
      </w:pPr>
      <w:r>
        <w:t>经梳理，我</w:t>
      </w:r>
      <w:r>
        <w:rPr>
          <w:rFonts w:hint="eastAsia"/>
          <w:lang w:eastAsia="zh-CN"/>
        </w:rPr>
        <w:t>单位</w:t>
      </w:r>
      <w:r>
        <w:t>共谋划4个落地项目，共谋划4个投产项目。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1、完善制度建设。严格按照财务管理相关要求，进一步加强内部控制制度建设、预算绩效管理机制，及时健全完善政府采购、财务管理等各项财务制度并严格遵照执行，以确保各项资金支出合规合法。</w:t>
      </w:r>
    </w:p>
    <w:p>
      <w:pPr>
        <w:pStyle w:val="24"/>
      </w:pPr>
      <w:r>
        <w:t>2、加强支出管理。通过优化支出结构，编细编实预算，加快履行政府采购手续，尽快启动项目，按照规定及时支付资金，确保支出进度达标。</w:t>
      </w:r>
    </w:p>
    <w:p>
      <w:pPr>
        <w:pStyle w:val="24"/>
      </w:pPr>
      <w:r>
        <w:t>3、加强绩效运行监管。按照上级要求开展绩效运行监控，发现问题及时采取措施，确保绩效目标如期保质实现。</w:t>
      </w:r>
    </w:p>
    <w:p>
      <w:pPr>
        <w:pStyle w:val="24"/>
      </w:pPr>
      <w:r>
        <w:t>4、做好绩效自评。按照要求开展上年度部门预算绩效自评和重点评价工作，对评价中发现的问题及时整改，调整优化支出结构，提高财政资金使用效益。</w:t>
      </w:r>
    </w:p>
    <w:p>
      <w:pPr>
        <w:pStyle w:val="24"/>
      </w:pPr>
      <w:r>
        <w:t>5、规范财务资产管理。进一步完善财务管理制度，严格审批报销程序，加强固定资产登记、使用和报废处置管理，做到支出合理，物尽其用。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7、加强宣传培训调研。加强人员培训，提高本部门职工业务素质；加强调研，提高优化财政资金配置、提高资金使用效益的意见；加大宣传力度，强化预算绩效管理意识，促进预算绩效管理水平进一步提升。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1、开发区工作经费绩效目标表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13063425P00427310214Y</w:t>
            </w:r>
          </w:p>
        </w:tc>
        <w:tc>
          <w:tcPr>
            <w:tcW w:w="2835" w:type="dxa"/>
            <w:vAlign w:val="center"/>
          </w:tcPr>
          <w:p>
            <w:pPr>
              <w:pStyle w:val="11"/>
            </w:pPr>
            <w:r>
              <w:t>项目名称</w:t>
            </w:r>
          </w:p>
        </w:tc>
        <w:tc>
          <w:tcPr>
            <w:tcW w:w="6095" w:type="dxa"/>
            <w:gridSpan w:val="3"/>
            <w:vAlign w:val="center"/>
          </w:tcPr>
          <w:p>
            <w:pPr>
              <w:pStyle w:val="13"/>
            </w:pPr>
            <w:r>
              <w:t>开发区工作经费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项目资金20万元，其中：财政资金20万元，主要用于办公设备购置、办公耗材购置，保障开发区工作顺利开展。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12.00</w:t>
            </w:r>
          </w:p>
        </w:tc>
        <w:tc>
          <w:tcPr>
            <w:tcW w:w="2551" w:type="dxa"/>
            <w:vAlign w:val="center"/>
          </w:tcPr>
          <w:p>
            <w:pPr>
              <w:pStyle w:val="14"/>
            </w:pPr>
            <w:r>
              <w:t>16.00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1.满足办公需求，保障单位高效运转，促进开发区高质量发展。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采购办公设备数量</w:t>
            </w:r>
          </w:p>
        </w:tc>
        <w:tc>
          <w:tcPr>
            <w:tcW w:w="5386" w:type="dxa"/>
            <w:vAlign w:val="center"/>
          </w:tcPr>
          <w:p>
            <w:pPr>
              <w:pStyle w:val="13"/>
            </w:pPr>
            <w:r>
              <w:t>采购办公设备数量</w:t>
            </w:r>
          </w:p>
        </w:tc>
        <w:tc>
          <w:tcPr>
            <w:tcW w:w="2268" w:type="dxa"/>
            <w:vAlign w:val="center"/>
          </w:tcPr>
          <w:p>
            <w:pPr>
              <w:pStyle w:val="13"/>
            </w:pPr>
            <w:r>
              <w:t>18台</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采购办公家具数量</w:t>
            </w:r>
          </w:p>
        </w:tc>
        <w:tc>
          <w:tcPr>
            <w:tcW w:w="5386" w:type="dxa"/>
            <w:vAlign w:val="center"/>
          </w:tcPr>
          <w:p>
            <w:pPr>
              <w:pStyle w:val="13"/>
            </w:pPr>
            <w:r>
              <w:t>采购办公家具数量</w:t>
            </w:r>
          </w:p>
        </w:tc>
        <w:tc>
          <w:tcPr>
            <w:tcW w:w="2268" w:type="dxa"/>
            <w:vAlign w:val="center"/>
          </w:tcPr>
          <w:p>
            <w:pPr>
              <w:pStyle w:val="13"/>
            </w:pPr>
            <w:r>
              <w:t>24个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购置质量合格率</w:t>
            </w:r>
          </w:p>
        </w:tc>
        <w:tc>
          <w:tcPr>
            <w:tcW w:w="5386" w:type="dxa"/>
            <w:vAlign w:val="center"/>
          </w:tcPr>
          <w:p>
            <w:pPr>
              <w:pStyle w:val="13"/>
            </w:pPr>
            <w:r>
              <w:t>购置质量合格率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采购完成时间</w:t>
            </w:r>
          </w:p>
        </w:tc>
        <w:tc>
          <w:tcPr>
            <w:tcW w:w="5386" w:type="dxa"/>
            <w:vAlign w:val="center"/>
          </w:tcPr>
          <w:p>
            <w:pPr>
              <w:pStyle w:val="13"/>
            </w:pPr>
            <w:r>
              <w:t>采购完成时间</w:t>
            </w:r>
          </w:p>
        </w:tc>
        <w:tc>
          <w:tcPr>
            <w:tcW w:w="2268" w:type="dxa"/>
            <w:vAlign w:val="center"/>
          </w:tcPr>
          <w:p>
            <w:pPr>
              <w:pStyle w:val="13"/>
            </w:pPr>
            <w:r>
              <w:t>12月底之前完成</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单位购置成本（元/台、件、辆、</w:t>
            </w:r>
          </w:p>
        </w:tc>
        <w:tc>
          <w:tcPr>
            <w:tcW w:w="5386" w:type="dxa"/>
            <w:vAlign w:val="center"/>
          </w:tcPr>
          <w:p>
            <w:pPr>
              <w:pStyle w:val="13"/>
            </w:pPr>
            <w:r>
              <w:t>办公设备单位购置成本（元/台、件、辆、套）</w:t>
            </w:r>
          </w:p>
        </w:tc>
        <w:tc>
          <w:tcPr>
            <w:tcW w:w="2268" w:type="dxa"/>
            <w:vAlign w:val="center"/>
          </w:tcPr>
          <w:p>
            <w:pPr>
              <w:pStyle w:val="13"/>
            </w:pPr>
            <w:r>
              <w:t>≤6000元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单位购置成本（元/台、件、辆、</w:t>
            </w:r>
          </w:p>
        </w:tc>
        <w:tc>
          <w:tcPr>
            <w:tcW w:w="5386" w:type="dxa"/>
            <w:vAlign w:val="center"/>
          </w:tcPr>
          <w:p>
            <w:pPr>
              <w:pStyle w:val="13"/>
            </w:pPr>
            <w:r>
              <w:t>办公家具单位购置成本（元/台、件、辆、套）</w:t>
            </w:r>
          </w:p>
        </w:tc>
        <w:tc>
          <w:tcPr>
            <w:tcW w:w="2268" w:type="dxa"/>
            <w:vAlign w:val="center"/>
          </w:tcPr>
          <w:p>
            <w:pPr>
              <w:pStyle w:val="13"/>
            </w:pPr>
            <w:r>
              <w:t>≤1000元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业务保障能力提升情况</w:t>
            </w:r>
          </w:p>
        </w:tc>
        <w:tc>
          <w:tcPr>
            <w:tcW w:w="5386" w:type="dxa"/>
            <w:vAlign w:val="center"/>
          </w:tcPr>
          <w:p>
            <w:pPr>
              <w:pStyle w:val="13"/>
            </w:pPr>
            <w:r>
              <w:t>购置设备对业务保障能力的提升情况</w:t>
            </w:r>
          </w:p>
        </w:tc>
        <w:tc>
          <w:tcPr>
            <w:tcW w:w="2268" w:type="dxa"/>
            <w:vAlign w:val="center"/>
          </w:tcPr>
          <w:p>
            <w:pPr>
              <w:pStyle w:val="13"/>
            </w:pPr>
            <w:r>
              <w:t>≥10%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2、开发区公务用车购置绩效目标表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13063425P00427310212P</w:t>
            </w:r>
          </w:p>
        </w:tc>
        <w:tc>
          <w:tcPr>
            <w:tcW w:w="2835" w:type="dxa"/>
            <w:vAlign w:val="center"/>
          </w:tcPr>
          <w:p>
            <w:pPr>
              <w:pStyle w:val="11"/>
            </w:pPr>
            <w:r>
              <w:t>项目名称</w:t>
            </w:r>
          </w:p>
        </w:tc>
        <w:tc>
          <w:tcPr>
            <w:tcW w:w="6095" w:type="dxa"/>
            <w:gridSpan w:val="3"/>
            <w:vAlign w:val="center"/>
          </w:tcPr>
          <w:p>
            <w:pPr>
              <w:pStyle w:val="13"/>
            </w:pPr>
            <w:r>
              <w:t>开发区公务用车购置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项目资金18万元，其中财政资金18万元，主要用于公车购置，保障开发区工作顺利开展。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18.00</w:t>
            </w:r>
          </w:p>
        </w:tc>
        <w:tc>
          <w:tcPr>
            <w:tcW w:w="2835" w:type="dxa"/>
            <w:vAlign w:val="center"/>
          </w:tcPr>
          <w:p>
            <w:pPr>
              <w:pStyle w:val="14"/>
            </w:pPr>
            <w:r>
              <w:t>18.00</w:t>
            </w:r>
          </w:p>
        </w:tc>
        <w:tc>
          <w:tcPr>
            <w:tcW w:w="2551" w:type="dxa"/>
            <w:vAlign w:val="center"/>
          </w:tcPr>
          <w:p>
            <w:pPr>
              <w:pStyle w:val="14"/>
            </w:pPr>
            <w:r>
              <w:t>18.00</w:t>
            </w:r>
          </w:p>
        </w:tc>
        <w:tc>
          <w:tcPr>
            <w:tcW w:w="3544" w:type="dxa"/>
            <w:gridSpan w:val="2"/>
            <w:vAlign w:val="center"/>
          </w:tcPr>
          <w:p>
            <w:pPr>
              <w:pStyle w:val="14"/>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1.通过公务用车配备，使工作开展更加顺利，更好地完成各项工作。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车辆购置数量</w:t>
            </w:r>
          </w:p>
        </w:tc>
        <w:tc>
          <w:tcPr>
            <w:tcW w:w="5386" w:type="dxa"/>
            <w:vAlign w:val="center"/>
          </w:tcPr>
          <w:p>
            <w:pPr>
              <w:pStyle w:val="13"/>
            </w:pPr>
            <w:r>
              <w:t>车辆购置数量</w:t>
            </w:r>
          </w:p>
        </w:tc>
        <w:tc>
          <w:tcPr>
            <w:tcW w:w="2268" w:type="dxa"/>
            <w:vAlign w:val="center"/>
          </w:tcPr>
          <w:p>
            <w:pPr>
              <w:pStyle w:val="13"/>
            </w:pPr>
            <w:r>
              <w:t>1辆</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车辆安全运行率</w:t>
            </w:r>
          </w:p>
        </w:tc>
        <w:tc>
          <w:tcPr>
            <w:tcW w:w="5386" w:type="dxa"/>
            <w:vAlign w:val="center"/>
          </w:tcPr>
          <w:p>
            <w:pPr>
              <w:pStyle w:val="13"/>
            </w:pPr>
            <w:r>
              <w:t>车辆安全运行率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车辆购置完成时间</w:t>
            </w:r>
          </w:p>
        </w:tc>
        <w:tc>
          <w:tcPr>
            <w:tcW w:w="5386" w:type="dxa"/>
            <w:vAlign w:val="center"/>
          </w:tcPr>
          <w:p>
            <w:pPr>
              <w:pStyle w:val="13"/>
            </w:pPr>
            <w:r>
              <w:t>车辆购置完成时间</w:t>
            </w:r>
          </w:p>
        </w:tc>
        <w:tc>
          <w:tcPr>
            <w:tcW w:w="2268" w:type="dxa"/>
            <w:vAlign w:val="center"/>
          </w:tcPr>
          <w:p>
            <w:pPr>
              <w:pStyle w:val="13"/>
            </w:pPr>
            <w:r>
              <w:t>12月之前完成</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车辆购置成本</w:t>
            </w:r>
          </w:p>
        </w:tc>
        <w:tc>
          <w:tcPr>
            <w:tcW w:w="5386" w:type="dxa"/>
            <w:vAlign w:val="center"/>
          </w:tcPr>
          <w:p>
            <w:pPr>
              <w:pStyle w:val="13"/>
            </w:pPr>
            <w:r>
              <w:t>车辆购置成本</w:t>
            </w:r>
          </w:p>
        </w:tc>
        <w:tc>
          <w:tcPr>
            <w:tcW w:w="2268" w:type="dxa"/>
            <w:vAlign w:val="center"/>
          </w:tcPr>
          <w:p>
            <w:pPr>
              <w:pStyle w:val="13"/>
            </w:pPr>
            <w:r>
              <w:t>≤18万元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业务保障能力持续提升</w:t>
            </w:r>
          </w:p>
        </w:tc>
        <w:tc>
          <w:tcPr>
            <w:tcW w:w="5386" w:type="dxa"/>
            <w:vAlign w:val="center"/>
          </w:tcPr>
          <w:p>
            <w:pPr>
              <w:pStyle w:val="13"/>
            </w:pPr>
            <w:r>
              <w:t>业务保障能力较上一年提升的比率</w:t>
            </w:r>
          </w:p>
        </w:tc>
        <w:tc>
          <w:tcPr>
            <w:tcW w:w="2268" w:type="dxa"/>
            <w:vAlign w:val="center"/>
          </w:tcPr>
          <w:p>
            <w:pPr>
              <w:pStyle w:val="13"/>
            </w:pPr>
            <w:r>
              <w:t>≥5%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3、招商引资专项业务费绩效目标表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13063425P00427310213B</w:t>
            </w:r>
          </w:p>
        </w:tc>
        <w:tc>
          <w:tcPr>
            <w:tcW w:w="2835" w:type="dxa"/>
            <w:vAlign w:val="center"/>
          </w:tcPr>
          <w:p>
            <w:pPr>
              <w:pStyle w:val="11"/>
            </w:pPr>
            <w:r>
              <w:t>项目名称</w:t>
            </w:r>
          </w:p>
        </w:tc>
        <w:tc>
          <w:tcPr>
            <w:tcW w:w="6095" w:type="dxa"/>
            <w:gridSpan w:val="3"/>
            <w:vAlign w:val="center"/>
          </w:tcPr>
          <w:p>
            <w:pPr>
              <w:pStyle w:val="13"/>
            </w:pPr>
            <w:r>
              <w:t>招商引资专项业务费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项目资金100万元，其中财政资金100万元，主要用经开区招商引资工作。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50.00</w:t>
            </w:r>
          </w:p>
        </w:tc>
        <w:tc>
          <w:tcPr>
            <w:tcW w:w="2551" w:type="dxa"/>
            <w:vAlign w:val="center"/>
          </w:tcPr>
          <w:p>
            <w:pPr>
              <w:pStyle w:val="14"/>
            </w:pPr>
            <w:r>
              <w:t>80.00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1.通过开展招商引资活动，提高曲阳经济开发区竞争力，吸引更多企业落户。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招商活动次数</w:t>
            </w:r>
          </w:p>
        </w:tc>
        <w:tc>
          <w:tcPr>
            <w:tcW w:w="5386" w:type="dxa"/>
            <w:vAlign w:val="center"/>
          </w:tcPr>
          <w:p>
            <w:pPr>
              <w:pStyle w:val="13"/>
            </w:pPr>
            <w:r>
              <w:t>招商活动次数</w:t>
            </w:r>
          </w:p>
        </w:tc>
        <w:tc>
          <w:tcPr>
            <w:tcW w:w="2268" w:type="dxa"/>
            <w:vAlign w:val="center"/>
          </w:tcPr>
          <w:p>
            <w:pPr>
              <w:pStyle w:val="13"/>
            </w:pPr>
            <w:r>
              <w:t>≥12次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培训合格率</w:t>
            </w:r>
          </w:p>
        </w:tc>
        <w:tc>
          <w:tcPr>
            <w:tcW w:w="5386" w:type="dxa"/>
            <w:vAlign w:val="center"/>
          </w:tcPr>
          <w:p>
            <w:pPr>
              <w:pStyle w:val="13"/>
            </w:pPr>
            <w:r>
              <w:t>培训合格率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培训召开时间</w:t>
            </w:r>
          </w:p>
        </w:tc>
        <w:tc>
          <w:tcPr>
            <w:tcW w:w="5386" w:type="dxa"/>
            <w:vAlign w:val="center"/>
          </w:tcPr>
          <w:p>
            <w:pPr>
              <w:pStyle w:val="13"/>
            </w:pPr>
            <w:r>
              <w:t>培训完成时间</w:t>
            </w:r>
          </w:p>
        </w:tc>
        <w:tc>
          <w:tcPr>
            <w:tcW w:w="2268" w:type="dxa"/>
            <w:vAlign w:val="center"/>
          </w:tcPr>
          <w:p>
            <w:pPr>
              <w:pStyle w:val="13"/>
            </w:pPr>
            <w:r>
              <w:t>10月前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会议费人均成本</w:t>
            </w:r>
          </w:p>
        </w:tc>
        <w:tc>
          <w:tcPr>
            <w:tcW w:w="5386" w:type="dxa"/>
            <w:vAlign w:val="center"/>
          </w:tcPr>
          <w:p>
            <w:pPr>
              <w:pStyle w:val="13"/>
            </w:pPr>
            <w:r>
              <w:t>会议费人均成本</w:t>
            </w:r>
          </w:p>
        </w:tc>
        <w:tc>
          <w:tcPr>
            <w:tcW w:w="2268" w:type="dxa"/>
            <w:vAlign w:val="center"/>
          </w:tcPr>
          <w:p>
            <w:pPr>
              <w:pStyle w:val="13"/>
            </w:pPr>
            <w:r>
              <w:t>≤350元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企业落户带来税收收入增长率</w:t>
            </w:r>
          </w:p>
        </w:tc>
        <w:tc>
          <w:tcPr>
            <w:tcW w:w="5386" w:type="dxa"/>
            <w:vAlign w:val="center"/>
          </w:tcPr>
          <w:p>
            <w:pPr>
              <w:pStyle w:val="13"/>
            </w:pPr>
            <w:r>
              <w:t>企业落户带来税收收入增长率</w:t>
            </w:r>
          </w:p>
        </w:tc>
        <w:tc>
          <w:tcPr>
            <w:tcW w:w="2268" w:type="dxa"/>
            <w:vAlign w:val="center"/>
          </w:tcPr>
          <w:p>
            <w:pPr>
              <w:pStyle w:val="13"/>
            </w:pPr>
            <w:r>
              <w:t>≥10%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978河北曲阳经济开发区管理委员会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54.75</w:t>
            </w:r>
          </w:p>
        </w:tc>
        <w:tc>
          <w:tcPr>
            <w:tcW w:w="964" w:type="dxa"/>
            <w:vAlign w:val="center"/>
          </w:tcPr>
          <w:p>
            <w:pPr>
              <w:pStyle w:val="16"/>
            </w:pPr>
            <w:r>
              <w:t>54.75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河北曲阳经济开发区管理委员会小计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54.75</w:t>
            </w:r>
          </w:p>
        </w:tc>
        <w:tc>
          <w:tcPr>
            <w:tcW w:w="964" w:type="dxa"/>
            <w:vAlign w:val="center"/>
          </w:tcPr>
          <w:p>
            <w:pPr>
              <w:pStyle w:val="16"/>
            </w:pPr>
            <w:r>
              <w:t>54.75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开发区工作经费</w:t>
            </w:r>
          </w:p>
        </w:tc>
        <w:tc>
          <w:tcPr>
            <w:tcW w:w="964" w:type="dxa"/>
            <w:vAlign w:val="center"/>
          </w:tcPr>
          <w:p>
            <w:pPr>
              <w:pStyle w:val="12"/>
            </w:pPr>
            <w:r>
              <w:t>20.00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0.50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开发区工作经费</w:t>
            </w:r>
          </w:p>
        </w:tc>
        <w:tc>
          <w:tcPr>
            <w:tcW w:w="964" w:type="dxa"/>
            <w:vAlign w:val="center"/>
          </w:tcPr>
          <w:p>
            <w:pPr>
              <w:pStyle w:val="12"/>
            </w:pPr>
            <w:r>
              <w:t>20.00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开发区工作经费</w:t>
            </w:r>
          </w:p>
        </w:tc>
        <w:tc>
          <w:tcPr>
            <w:tcW w:w="964" w:type="dxa"/>
            <w:vAlign w:val="center"/>
          </w:tcPr>
          <w:p>
            <w:pPr>
              <w:pStyle w:val="12"/>
            </w:pPr>
            <w:r>
              <w:t>20.00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0.25</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开发区工作经费</w:t>
            </w:r>
          </w:p>
        </w:tc>
        <w:tc>
          <w:tcPr>
            <w:tcW w:w="964" w:type="dxa"/>
            <w:vAlign w:val="center"/>
          </w:tcPr>
          <w:p>
            <w:pPr>
              <w:pStyle w:val="12"/>
            </w:pPr>
            <w:r>
              <w:t>20.00</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0.10</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开发区工作经费</w:t>
            </w:r>
          </w:p>
        </w:tc>
        <w:tc>
          <w:tcPr>
            <w:tcW w:w="964" w:type="dxa"/>
            <w:vAlign w:val="center"/>
          </w:tcPr>
          <w:p>
            <w:pPr>
              <w:pStyle w:val="12"/>
            </w:pPr>
            <w:r>
              <w:t>20.00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个</w:t>
            </w:r>
          </w:p>
        </w:tc>
        <w:tc>
          <w:tcPr>
            <w:tcW w:w="850" w:type="dxa"/>
            <w:vAlign w:val="center"/>
          </w:tcPr>
          <w:p>
            <w:pPr>
              <w:pStyle w:val="12"/>
            </w:pPr>
            <w:r>
              <w:t>8</w:t>
            </w:r>
          </w:p>
        </w:tc>
        <w:tc>
          <w:tcPr>
            <w:tcW w:w="850" w:type="dxa"/>
            <w:vAlign w:val="center"/>
          </w:tcPr>
          <w:p>
            <w:pPr>
              <w:pStyle w:val="12"/>
            </w:pPr>
            <w:r>
              <w:t>0.07</w:t>
            </w:r>
          </w:p>
        </w:tc>
        <w:tc>
          <w:tcPr>
            <w:tcW w:w="964" w:type="dxa"/>
            <w:vAlign w:val="center"/>
          </w:tcPr>
          <w:p>
            <w:pPr>
              <w:pStyle w:val="12"/>
            </w:pPr>
            <w:r>
              <w:t>0.56</w:t>
            </w:r>
          </w:p>
        </w:tc>
        <w:tc>
          <w:tcPr>
            <w:tcW w:w="964" w:type="dxa"/>
            <w:vAlign w:val="center"/>
          </w:tcPr>
          <w:p>
            <w:pPr>
              <w:pStyle w:val="12"/>
            </w:pPr>
            <w:r>
              <w:t>0.56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开发区工作经费</w:t>
            </w:r>
          </w:p>
        </w:tc>
        <w:tc>
          <w:tcPr>
            <w:tcW w:w="964" w:type="dxa"/>
            <w:vAlign w:val="center"/>
          </w:tcPr>
          <w:p>
            <w:pPr>
              <w:pStyle w:val="12"/>
            </w:pPr>
            <w:r>
              <w:t>20.00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10</w:t>
            </w:r>
          </w:p>
        </w:tc>
        <w:tc>
          <w:tcPr>
            <w:tcW w:w="850" w:type="dxa"/>
            <w:vAlign w:val="center"/>
          </w:tcPr>
          <w:p>
            <w:pPr>
              <w:pStyle w:val="12"/>
            </w:pPr>
            <w:r>
              <w:t>0.02</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开发区工作经费</w:t>
            </w:r>
          </w:p>
        </w:tc>
        <w:tc>
          <w:tcPr>
            <w:tcW w:w="964" w:type="dxa"/>
            <w:vAlign w:val="center"/>
          </w:tcPr>
          <w:p>
            <w:pPr>
              <w:pStyle w:val="12"/>
            </w:pPr>
            <w:r>
              <w:t>20.00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个</w:t>
            </w:r>
          </w:p>
        </w:tc>
        <w:tc>
          <w:tcPr>
            <w:tcW w:w="850" w:type="dxa"/>
            <w:vAlign w:val="center"/>
          </w:tcPr>
          <w:p>
            <w:pPr>
              <w:pStyle w:val="12"/>
            </w:pPr>
            <w:r>
              <w:t>10</w:t>
            </w:r>
          </w:p>
        </w:tc>
        <w:tc>
          <w:tcPr>
            <w:tcW w:w="850" w:type="dxa"/>
            <w:vAlign w:val="center"/>
          </w:tcPr>
          <w:p>
            <w:pPr>
              <w:pStyle w:val="12"/>
            </w:pPr>
            <w:r>
              <w:t>0.06</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开发区工作经费</w:t>
            </w:r>
          </w:p>
        </w:tc>
        <w:tc>
          <w:tcPr>
            <w:tcW w:w="964" w:type="dxa"/>
            <w:vAlign w:val="center"/>
          </w:tcPr>
          <w:p>
            <w:pPr>
              <w:pStyle w:val="12"/>
            </w:pPr>
            <w:r>
              <w:t>20.00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40</w:t>
            </w:r>
          </w:p>
        </w:tc>
        <w:tc>
          <w:tcPr>
            <w:tcW w:w="850" w:type="dxa"/>
            <w:vAlign w:val="center"/>
          </w:tcPr>
          <w:p>
            <w:pPr>
              <w:pStyle w:val="12"/>
            </w:pPr>
            <w:r>
              <w:t>0.05</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开发区工作经费</w:t>
            </w:r>
          </w:p>
        </w:tc>
        <w:tc>
          <w:tcPr>
            <w:tcW w:w="964" w:type="dxa"/>
            <w:vAlign w:val="center"/>
          </w:tcPr>
          <w:p>
            <w:pPr>
              <w:pStyle w:val="12"/>
            </w:pPr>
            <w:r>
              <w:t>20.00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条</w:t>
            </w:r>
          </w:p>
        </w:tc>
        <w:tc>
          <w:tcPr>
            <w:tcW w:w="850" w:type="dxa"/>
            <w:vAlign w:val="center"/>
          </w:tcPr>
          <w:p>
            <w:pPr>
              <w:pStyle w:val="12"/>
            </w:pPr>
            <w:r>
              <w:t>1</w:t>
            </w:r>
          </w:p>
        </w:tc>
        <w:tc>
          <w:tcPr>
            <w:tcW w:w="850" w:type="dxa"/>
            <w:vAlign w:val="center"/>
          </w:tcPr>
          <w:p>
            <w:pPr>
              <w:pStyle w:val="12"/>
            </w:pPr>
            <w:r>
              <w:t>0.19</w:t>
            </w:r>
          </w:p>
        </w:tc>
        <w:tc>
          <w:tcPr>
            <w:tcW w:w="964" w:type="dxa"/>
            <w:vAlign w:val="center"/>
          </w:tcPr>
          <w:p>
            <w:pPr>
              <w:pStyle w:val="12"/>
            </w:pPr>
            <w:r>
              <w:t>0.19</w:t>
            </w:r>
          </w:p>
        </w:tc>
        <w:tc>
          <w:tcPr>
            <w:tcW w:w="964" w:type="dxa"/>
            <w:vAlign w:val="center"/>
          </w:tcPr>
          <w:p>
            <w:pPr>
              <w:pStyle w:val="12"/>
            </w:pPr>
            <w:r>
              <w:t>0.19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开发区公务用车购置</w:t>
            </w:r>
          </w:p>
        </w:tc>
        <w:tc>
          <w:tcPr>
            <w:tcW w:w="964" w:type="dxa"/>
            <w:vAlign w:val="center"/>
          </w:tcPr>
          <w:p>
            <w:pPr>
              <w:pStyle w:val="12"/>
            </w:pPr>
            <w:r>
              <w:t>18.00</w:t>
            </w:r>
          </w:p>
        </w:tc>
        <w:tc>
          <w:tcPr>
            <w:tcW w:w="1134" w:type="dxa"/>
            <w:vAlign w:val="center"/>
          </w:tcPr>
          <w:p>
            <w:pPr>
              <w:pStyle w:val="13"/>
            </w:pPr>
            <w:r>
              <w:t>轿车</w:t>
            </w:r>
          </w:p>
        </w:tc>
        <w:tc>
          <w:tcPr>
            <w:tcW w:w="1134" w:type="dxa"/>
            <w:vAlign w:val="center"/>
          </w:tcPr>
          <w:p>
            <w:pPr>
              <w:pStyle w:val="13"/>
            </w:pPr>
            <w:r>
              <w:t>A02030501</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招商引资专项业务费</w:t>
            </w:r>
          </w:p>
        </w:tc>
        <w:tc>
          <w:tcPr>
            <w:tcW w:w="964" w:type="dxa"/>
            <w:vAlign w:val="center"/>
          </w:tcPr>
          <w:p>
            <w:pPr>
              <w:pStyle w:val="12"/>
            </w:pPr>
            <w:r>
              <w:t>100.00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w:t>
            </w:r>
            <w:r>
              <w:rPr>
                <w:rFonts w:hint="eastAsia"/>
                <w:lang w:val="en-US" w:eastAsia="zh-CN"/>
              </w:rPr>
              <w:t>8</w:t>
            </w:r>
            <w:r>
              <w:t>.00</w:t>
            </w:r>
          </w:p>
        </w:tc>
        <w:tc>
          <w:tcPr>
            <w:tcW w:w="964" w:type="dxa"/>
            <w:vAlign w:val="center"/>
          </w:tcPr>
          <w:p>
            <w:pPr>
              <w:pStyle w:val="12"/>
            </w:pPr>
            <w:r>
              <w:t>2</w:t>
            </w:r>
            <w:r>
              <w:rPr>
                <w:rFonts w:hint="eastAsia"/>
                <w:lang w:val="en-US" w:eastAsia="zh-CN"/>
              </w:rPr>
              <w:t>8</w:t>
            </w:r>
            <w:r>
              <w:t>.00</w:t>
            </w:r>
          </w:p>
        </w:tc>
        <w:tc>
          <w:tcPr>
            <w:tcW w:w="964" w:type="dxa"/>
            <w:vAlign w:val="center"/>
          </w:tcPr>
          <w:p>
            <w:pPr>
              <w:pStyle w:val="12"/>
            </w:pPr>
            <w:r>
              <w:t>2</w:t>
            </w:r>
            <w:r>
              <w:rPr>
                <w:rFonts w:hint="eastAsia"/>
                <w:lang w:val="en-US" w:eastAsia="zh-CN"/>
              </w:rPr>
              <w:t>8</w:t>
            </w:r>
            <w:r>
              <w:t>.00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w:t>
            </w:r>
            <w:r>
              <w:rPr>
                <w:rFonts w:hint="eastAsia"/>
                <w:lang w:val="en-US" w:eastAsia="zh-CN"/>
              </w:rPr>
              <w:t>8</w:t>
            </w:r>
            <w:r>
              <w:t>.00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河北曲阳经济开发区管理委员会（含所属单位）上年末固定资产金额为0.00万元（详见下表）。本年度拟购置固定资产总额为24.56万</w:t>
      </w:r>
      <w:bookmarkStart w:id="20" w:name="_GoBack"/>
      <w:bookmarkEnd w:id="20"/>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978河北曲阳经济开发区管理委员会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QxZGNhYmJjZmFhNWZhYjIzNzc0NTllNjg3ZjM4YmUifQ=="/>
  </w:docVars>
  <w:rsids>
    <w:rsidRoot w:val="00000000"/>
    <w:rsid w:val="27B07FA4"/>
    <w:rsid w:val="3A5E4C24"/>
    <w:rsid w:val="3DB33860"/>
    <w:rsid w:val="446C1E10"/>
    <w:rsid w:val="45F46709"/>
    <w:rsid w:val="533F2835"/>
    <w:rsid w:val="538D1BF0"/>
    <w:rsid w:val="547760F5"/>
    <w:rsid w:val="587C0221"/>
    <w:rsid w:val="632361AD"/>
    <w:rsid w:val="673152EA"/>
    <w:rsid w:val="79196380"/>
    <w:rsid w:val="7DEB30E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8124</Words>
  <Characters>9705</Characters>
  <TotalTime>10</TotalTime>
  <ScaleCrop>false</ScaleCrop>
  <LinksUpToDate>false</LinksUpToDate>
  <CharactersWithSpaces>9885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2025-02-05T10:13:00Z</dcterms:created>
  <dc:creator>Administrator</dc:creator>
  <cp:lastModifiedBy>Ydh</cp:lastModifiedBy>
  <dcterms:modified xsi:type="dcterms:W3CDTF">2025-02-05T06:57:30Z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8E3F0A9A46CA424EB42578252D051B7B_12</vt:lpwstr>
  </property>
</Properties>
</file>