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一、曲阳县雕刻定瓷行业服务中心收支预算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一、曲阳县雕刻定瓷行业服务中心收支预算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304001曲阳县雕刻定瓷行业服务中心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238.24</w:t>
            </w:r>
          </w:p>
        </w:tc>
        <w:tc>
          <w:tcPr>
            <w:tcW w:w="4535" w:type="dxa"/>
            <w:vAlign w:val="center"/>
          </w:tcPr>
          <w:p>
            <w:pPr>
              <w:pStyle w:val="12"/>
            </w:pPr>
            <w:r>
              <w:t>一、一般公共服务支出</w:t>
            </w:r>
          </w:p>
        </w:tc>
        <w:tc>
          <w:tcPr>
            <w:tcW w:w="2126" w:type="dxa"/>
            <w:vAlign w:val="center"/>
          </w:tcPr>
          <w:p>
            <w:pPr>
              <w:pStyle w:val="11"/>
            </w:pPr>
            <w:r>
              <w:t>97.70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26.37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238.24</w:t>
            </w:r>
          </w:p>
        </w:tc>
        <w:tc>
          <w:tcPr>
            <w:tcW w:w="4535" w:type="dxa"/>
            <w:vAlign w:val="center"/>
          </w:tcPr>
          <w:p>
            <w:pPr>
              <w:pStyle w:val="14"/>
            </w:pPr>
            <w:r>
              <w:t>本年支出合计</w:t>
            </w:r>
          </w:p>
        </w:tc>
        <w:tc>
          <w:tcPr>
            <w:tcW w:w="2126" w:type="dxa"/>
            <w:vAlign w:val="center"/>
          </w:tcPr>
          <w:p>
            <w:pPr>
              <w:pStyle w:val="15"/>
            </w:pPr>
            <w:r>
              <w:t>238.24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238.24</w:t>
            </w:r>
          </w:p>
        </w:tc>
        <w:tc>
          <w:tcPr>
            <w:tcW w:w="4535" w:type="dxa"/>
            <w:vAlign w:val="center"/>
          </w:tcPr>
          <w:p>
            <w:pPr>
              <w:pStyle w:val="14"/>
            </w:pPr>
            <w:r>
              <w:t>支出总计</w:t>
            </w:r>
          </w:p>
        </w:tc>
        <w:tc>
          <w:tcPr>
            <w:tcW w:w="2126" w:type="dxa"/>
            <w:vAlign w:val="center"/>
          </w:tcPr>
          <w:p>
            <w:pPr>
              <w:pStyle w:val="15"/>
            </w:pPr>
            <w:r>
              <w:t>238.24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304001曲阳县雕刻定瓷行业服务中心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238.24</w:t>
            </w:r>
          </w:p>
        </w:tc>
        <w:tc>
          <w:tcPr>
            <w:tcW w:w="1134" w:type="dxa"/>
            <w:vAlign w:val="center"/>
          </w:tcPr>
          <w:p>
            <w:pPr>
              <w:pStyle w:val="15"/>
            </w:pPr>
            <w:r>
              <w:t>238.24</w:t>
            </w:r>
          </w:p>
        </w:tc>
        <w:tc>
          <w:tcPr>
            <w:tcW w:w="1134" w:type="dxa"/>
            <w:vAlign w:val="center"/>
          </w:tcPr>
          <w:p>
            <w:pPr>
              <w:pStyle w:val="15"/>
            </w:pPr>
            <w:r>
              <w:t>238.24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97.70</w:t>
            </w:r>
          </w:p>
        </w:tc>
        <w:tc>
          <w:tcPr>
            <w:tcW w:w="1134" w:type="dxa"/>
            <w:vAlign w:val="center"/>
          </w:tcPr>
          <w:p>
            <w:pPr>
              <w:pStyle w:val="11"/>
            </w:pPr>
            <w:r>
              <w:t>97.70</w:t>
            </w:r>
          </w:p>
        </w:tc>
        <w:tc>
          <w:tcPr>
            <w:tcW w:w="1134" w:type="dxa"/>
            <w:vAlign w:val="center"/>
          </w:tcPr>
          <w:p>
            <w:pPr>
              <w:pStyle w:val="11"/>
            </w:pPr>
            <w:r>
              <w:t>97.70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97.70</w:t>
            </w:r>
          </w:p>
        </w:tc>
        <w:tc>
          <w:tcPr>
            <w:tcW w:w="1134" w:type="dxa"/>
            <w:vAlign w:val="center"/>
          </w:tcPr>
          <w:p>
            <w:pPr>
              <w:pStyle w:val="11"/>
            </w:pPr>
            <w:r>
              <w:t>97.70</w:t>
            </w:r>
          </w:p>
        </w:tc>
        <w:tc>
          <w:tcPr>
            <w:tcW w:w="1134" w:type="dxa"/>
            <w:vAlign w:val="center"/>
          </w:tcPr>
          <w:p>
            <w:pPr>
              <w:pStyle w:val="11"/>
            </w:pPr>
            <w:r>
              <w:t>97.70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48.01</w:t>
            </w:r>
          </w:p>
        </w:tc>
        <w:tc>
          <w:tcPr>
            <w:tcW w:w="1134" w:type="dxa"/>
            <w:vAlign w:val="center"/>
          </w:tcPr>
          <w:p>
            <w:pPr>
              <w:pStyle w:val="11"/>
            </w:pPr>
            <w:r>
              <w:t>48.01</w:t>
            </w:r>
          </w:p>
        </w:tc>
        <w:tc>
          <w:tcPr>
            <w:tcW w:w="1134" w:type="dxa"/>
            <w:vAlign w:val="center"/>
          </w:tcPr>
          <w:p>
            <w:pPr>
              <w:pStyle w:val="11"/>
            </w:pPr>
            <w:r>
              <w:t>48.01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49.69</w:t>
            </w:r>
          </w:p>
        </w:tc>
        <w:tc>
          <w:tcPr>
            <w:tcW w:w="1134" w:type="dxa"/>
            <w:vAlign w:val="center"/>
          </w:tcPr>
          <w:p>
            <w:pPr>
              <w:pStyle w:val="11"/>
            </w:pPr>
            <w:r>
              <w:t>49.69</w:t>
            </w:r>
          </w:p>
        </w:tc>
        <w:tc>
          <w:tcPr>
            <w:tcW w:w="1134" w:type="dxa"/>
            <w:vAlign w:val="center"/>
          </w:tcPr>
          <w:p>
            <w:pPr>
              <w:pStyle w:val="11"/>
            </w:pPr>
            <w:r>
              <w:t>49.69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26.37</w:t>
            </w:r>
          </w:p>
        </w:tc>
        <w:tc>
          <w:tcPr>
            <w:tcW w:w="1134" w:type="dxa"/>
            <w:vAlign w:val="center"/>
          </w:tcPr>
          <w:p>
            <w:pPr>
              <w:pStyle w:val="11"/>
            </w:pPr>
            <w:r>
              <w:t>26.37</w:t>
            </w:r>
          </w:p>
        </w:tc>
        <w:tc>
          <w:tcPr>
            <w:tcW w:w="1134" w:type="dxa"/>
            <w:vAlign w:val="center"/>
          </w:tcPr>
          <w:p>
            <w:pPr>
              <w:pStyle w:val="11"/>
            </w:pPr>
            <w:r>
              <w:t>26.37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26.37</w:t>
            </w:r>
          </w:p>
        </w:tc>
        <w:tc>
          <w:tcPr>
            <w:tcW w:w="1134" w:type="dxa"/>
            <w:vAlign w:val="center"/>
          </w:tcPr>
          <w:p>
            <w:pPr>
              <w:pStyle w:val="11"/>
            </w:pPr>
            <w:r>
              <w:t>26.37</w:t>
            </w:r>
          </w:p>
        </w:tc>
        <w:tc>
          <w:tcPr>
            <w:tcW w:w="1134" w:type="dxa"/>
            <w:vAlign w:val="center"/>
          </w:tcPr>
          <w:p>
            <w:pPr>
              <w:pStyle w:val="11"/>
            </w:pPr>
            <w:r>
              <w:t>26.37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14.91</w:t>
            </w:r>
          </w:p>
        </w:tc>
        <w:tc>
          <w:tcPr>
            <w:tcW w:w="1134" w:type="dxa"/>
            <w:vAlign w:val="center"/>
          </w:tcPr>
          <w:p>
            <w:pPr>
              <w:pStyle w:val="11"/>
            </w:pPr>
            <w:r>
              <w:t>14.91</w:t>
            </w:r>
          </w:p>
        </w:tc>
        <w:tc>
          <w:tcPr>
            <w:tcW w:w="1134" w:type="dxa"/>
            <w:vAlign w:val="center"/>
          </w:tcPr>
          <w:p>
            <w:pPr>
              <w:pStyle w:val="11"/>
            </w:pPr>
            <w:r>
              <w:t>14.91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11.46</w:t>
            </w:r>
          </w:p>
        </w:tc>
        <w:tc>
          <w:tcPr>
            <w:tcW w:w="1134" w:type="dxa"/>
            <w:vAlign w:val="center"/>
          </w:tcPr>
          <w:p>
            <w:pPr>
              <w:pStyle w:val="11"/>
            </w:pPr>
            <w:r>
              <w:t>11.46</w:t>
            </w:r>
          </w:p>
        </w:tc>
        <w:tc>
          <w:tcPr>
            <w:tcW w:w="1134" w:type="dxa"/>
            <w:vAlign w:val="center"/>
          </w:tcPr>
          <w:p>
            <w:pPr>
              <w:pStyle w:val="11"/>
            </w:pPr>
            <w:r>
              <w:t>11.46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5.61</w:t>
            </w:r>
          </w:p>
        </w:tc>
        <w:tc>
          <w:tcPr>
            <w:tcW w:w="1134" w:type="dxa"/>
            <w:vAlign w:val="center"/>
          </w:tcPr>
          <w:p>
            <w:pPr>
              <w:pStyle w:val="11"/>
            </w:pPr>
            <w:r>
              <w:t>5.61</w:t>
            </w:r>
          </w:p>
        </w:tc>
        <w:tc>
          <w:tcPr>
            <w:tcW w:w="1134" w:type="dxa"/>
            <w:vAlign w:val="center"/>
          </w:tcPr>
          <w:p>
            <w:pPr>
              <w:pStyle w:val="11"/>
            </w:pPr>
            <w:r>
              <w:t>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5.61</w:t>
            </w:r>
          </w:p>
        </w:tc>
        <w:tc>
          <w:tcPr>
            <w:tcW w:w="1134" w:type="dxa"/>
            <w:vAlign w:val="center"/>
          </w:tcPr>
          <w:p>
            <w:pPr>
              <w:pStyle w:val="11"/>
            </w:pPr>
            <w:r>
              <w:t>5.61</w:t>
            </w:r>
          </w:p>
        </w:tc>
        <w:tc>
          <w:tcPr>
            <w:tcW w:w="1134" w:type="dxa"/>
            <w:vAlign w:val="center"/>
          </w:tcPr>
          <w:p>
            <w:pPr>
              <w:pStyle w:val="11"/>
            </w:pPr>
            <w:r>
              <w:t>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1.88</w:t>
            </w:r>
          </w:p>
        </w:tc>
        <w:tc>
          <w:tcPr>
            <w:tcW w:w="1134" w:type="dxa"/>
            <w:vAlign w:val="center"/>
          </w:tcPr>
          <w:p>
            <w:pPr>
              <w:pStyle w:val="11"/>
            </w:pPr>
            <w:r>
              <w:t>1.88</w:t>
            </w:r>
          </w:p>
        </w:tc>
        <w:tc>
          <w:tcPr>
            <w:tcW w:w="1134" w:type="dxa"/>
            <w:vAlign w:val="center"/>
          </w:tcPr>
          <w:p>
            <w:pPr>
              <w:pStyle w:val="11"/>
            </w:pPr>
            <w:r>
              <w:t>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3.73</w:t>
            </w:r>
          </w:p>
        </w:tc>
        <w:tc>
          <w:tcPr>
            <w:tcW w:w="1134" w:type="dxa"/>
            <w:vAlign w:val="center"/>
          </w:tcPr>
          <w:p>
            <w:pPr>
              <w:pStyle w:val="11"/>
            </w:pPr>
            <w:r>
              <w:t>3.73</w:t>
            </w:r>
          </w:p>
        </w:tc>
        <w:tc>
          <w:tcPr>
            <w:tcW w:w="1134" w:type="dxa"/>
            <w:vAlign w:val="center"/>
          </w:tcPr>
          <w:p>
            <w:pPr>
              <w:pStyle w:val="11"/>
            </w:pPr>
            <w:r>
              <w:t>3.73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21502</w:t>
            </w:r>
          </w:p>
        </w:tc>
        <w:tc>
          <w:tcPr>
            <w:tcW w:w="1559" w:type="dxa"/>
            <w:vAlign w:val="center"/>
          </w:tcPr>
          <w:p>
            <w:pPr>
              <w:pStyle w:val="12"/>
            </w:pPr>
            <w:r>
              <w:t>制造业</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2150202</w:t>
            </w:r>
          </w:p>
        </w:tc>
        <w:tc>
          <w:tcPr>
            <w:tcW w:w="1559" w:type="dxa"/>
            <w:vAlign w:val="center"/>
          </w:tcPr>
          <w:p>
            <w:pPr>
              <w:pStyle w:val="12"/>
            </w:pPr>
            <w:r>
              <w:t>一般行政管理事务</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304001曲阳县雕刻定瓷行业服务中心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238.24</w:t>
            </w:r>
          </w:p>
        </w:tc>
        <w:tc>
          <w:tcPr>
            <w:tcW w:w="1361" w:type="dxa"/>
            <w:vAlign w:val="center"/>
          </w:tcPr>
          <w:p>
            <w:pPr>
              <w:pStyle w:val="15"/>
            </w:pPr>
            <w:r>
              <w:t>138.24</w:t>
            </w: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97.70</w:t>
            </w:r>
          </w:p>
        </w:tc>
        <w:tc>
          <w:tcPr>
            <w:tcW w:w="1361" w:type="dxa"/>
            <w:vAlign w:val="center"/>
          </w:tcPr>
          <w:p>
            <w:pPr>
              <w:pStyle w:val="11"/>
            </w:pPr>
            <w:r>
              <w:t>97.70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97.70</w:t>
            </w:r>
          </w:p>
        </w:tc>
        <w:tc>
          <w:tcPr>
            <w:tcW w:w="1361" w:type="dxa"/>
            <w:vAlign w:val="center"/>
          </w:tcPr>
          <w:p>
            <w:pPr>
              <w:pStyle w:val="11"/>
            </w:pPr>
            <w:r>
              <w:t>97.70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48.01</w:t>
            </w:r>
          </w:p>
        </w:tc>
        <w:tc>
          <w:tcPr>
            <w:tcW w:w="1361" w:type="dxa"/>
            <w:vAlign w:val="center"/>
          </w:tcPr>
          <w:p>
            <w:pPr>
              <w:pStyle w:val="11"/>
            </w:pPr>
            <w:r>
              <w:t>48.01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49.69</w:t>
            </w:r>
          </w:p>
        </w:tc>
        <w:tc>
          <w:tcPr>
            <w:tcW w:w="1361" w:type="dxa"/>
            <w:vAlign w:val="center"/>
          </w:tcPr>
          <w:p>
            <w:pPr>
              <w:pStyle w:val="11"/>
            </w:pPr>
            <w:r>
              <w:t>49.69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26.37</w:t>
            </w:r>
          </w:p>
        </w:tc>
        <w:tc>
          <w:tcPr>
            <w:tcW w:w="1361" w:type="dxa"/>
            <w:vAlign w:val="center"/>
          </w:tcPr>
          <w:p>
            <w:pPr>
              <w:pStyle w:val="11"/>
            </w:pPr>
            <w:r>
              <w:t>26.37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26.37</w:t>
            </w:r>
          </w:p>
        </w:tc>
        <w:tc>
          <w:tcPr>
            <w:tcW w:w="1361" w:type="dxa"/>
            <w:vAlign w:val="center"/>
          </w:tcPr>
          <w:p>
            <w:pPr>
              <w:pStyle w:val="11"/>
            </w:pPr>
            <w:r>
              <w:t>26.37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14.91</w:t>
            </w:r>
          </w:p>
        </w:tc>
        <w:tc>
          <w:tcPr>
            <w:tcW w:w="1361" w:type="dxa"/>
            <w:vAlign w:val="center"/>
          </w:tcPr>
          <w:p>
            <w:pPr>
              <w:pStyle w:val="11"/>
            </w:pPr>
            <w:r>
              <w:t>14.91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11.46</w:t>
            </w:r>
          </w:p>
        </w:tc>
        <w:tc>
          <w:tcPr>
            <w:tcW w:w="1361" w:type="dxa"/>
            <w:vAlign w:val="center"/>
          </w:tcPr>
          <w:p>
            <w:pPr>
              <w:pStyle w:val="11"/>
            </w:pPr>
            <w:r>
              <w:t>11.46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5.61</w:t>
            </w:r>
          </w:p>
        </w:tc>
        <w:tc>
          <w:tcPr>
            <w:tcW w:w="1361" w:type="dxa"/>
            <w:vAlign w:val="center"/>
          </w:tcPr>
          <w:p>
            <w:pPr>
              <w:pStyle w:val="11"/>
            </w:pPr>
            <w:r>
              <w:t>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5.61</w:t>
            </w:r>
          </w:p>
        </w:tc>
        <w:tc>
          <w:tcPr>
            <w:tcW w:w="1361" w:type="dxa"/>
            <w:vAlign w:val="center"/>
          </w:tcPr>
          <w:p>
            <w:pPr>
              <w:pStyle w:val="11"/>
            </w:pPr>
            <w:r>
              <w:t>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1.88</w:t>
            </w:r>
          </w:p>
        </w:tc>
        <w:tc>
          <w:tcPr>
            <w:tcW w:w="1361" w:type="dxa"/>
            <w:vAlign w:val="center"/>
          </w:tcPr>
          <w:p>
            <w:pPr>
              <w:pStyle w:val="11"/>
            </w:pPr>
            <w:r>
              <w:t>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3.73</w:t>
            </w:r>
          </w:p>
        </w:tc>
        <w:tc>
          <w:tcPr>
            <w:tcW w:w="1361" w:type="dxa"/>
            <w:vAlign w:val="center"/>
          </w:tcPr>
          <w:p>
            <w:pPr>
              <w:pStyle w:val="11"/>
            </w:pPr>
            <w:r>
              <w:t>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21502</w:t>
            </w:r>
          </w:p>
        </w:tc>
        <w:tc>
          <w:tcPr>
            <w:tcW w:w="4535" w:type="dxa"/>
            <w:vAlign w:val="center"/>
          </w:tcPr>
          <w:p>
            <w:pPr>
              <w:pStyle w:val="12"/>
            </w:pPr>
            <w:r>
              <w:t>制造业</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2150202</w:t>
            </w:r>
          </w:p>
        </w:tc>
        <w:tc>
          <w:tcPr>
            <w:tcW w:w="4535" w:type="dxa"/>
            <w:vAlign w:val="center"/>
          </w:tcPr>
          <w:p>
            <w:pPr>
              <w:pStyle w:val="12"/>
            </w:pPr>
            <w:r>
              <w:t>一般行政管理事务</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8.56</w:t>
            </w:r>
          </w:p>
        </w:tc>
        <w:tc>
          <w:tcPr>
            <w:tcW w:w="1361" w:type="dxa"/>
            <w:vAlign w:val="center"/>
          </w:tcPr>
          <w:p>
            <w:pPr>
              <w:pStyle w:val="11"/>
            </w:pPr>
            <w:r>
              <w:t>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8.56</w:t>
            </w:r>
          </w:p>
        </w:tc>
        <w:tc>
          <w:tcPr>
            <w:tcW w:w="1361" w:type="dxa"/>
            <w:vAlign w:val="center"/>
          </w:tcPr>
          <w:p>
            <w:pPr>
              <w:pStyle w:val="11"/>
            </w:pPr>
            <w:r>
              <w:t>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8.56</w:t>
            </w:r>
          </w:p>
        </w:tc>
        <w:tc>
          <w:tcPr>
            <w:tcW w:w="1361" w:type="dxa"/>
            <w:vAlign w:val="center"/>
          </w:tcPr>
          <w:p>
            <w:pPr>
              <w:pStyle w:val="11"/>
            </w:pPr>
            <w:r>
              <w:t>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304001曲阳县雕刻定瓷行业服务中心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238.24</w:t>
            </w:r>
          </w:p>
        </w:tc>
        <w:tc>
          <w:tcPr>
            <w:tcW w:w="3402" w:type="dxa"/>
            <w:vAlign w:val="center"/>
          </w:tcPr>
          <w:p>
            <w:pPr>
              <w:pStyle w:val="12"/>
            </w:pPr>
            <w:r>
              <w:t>一、一般公共服务支出</w:t>
            </w:r>
          </w:p>
        </w:tc>
        <w:tc>
          <w:tcPr>
            <w:tcW w:w="1474" w:type="dxa"/>
            <w:vAlign w:val="center"/>
          </w:tcPr>
          <w:p>
            <w:pPr>
              <w:pStyle w:val="11"/>
            </w:pPr>
            <w:r>
              <w:t>97.70</w:t>
            </w:r>
          </w:p>
        </w:tc>
        <w:tc>
          <w:tcPr>
            <w:tcW w:w="1474" w:type="dxa"/>
            <w:vAlign w:val="center"/>
          </w:tcPr>
          <w:p>
            <w:pPr>
              <w:pStyle w:val="11"/>
            </w:pPr>
            <w:r>
              <w:t>97.70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50.00</w:t>
            </w:r>
          </w:p>
        </w:tc>
        <w:tc>
          <w:tcPr>
            <w:tcW w:w="1474" w:type="dxa"/>
            <w:vAlign w:val="center"/>
          </w:tcPr>
          <w:p>
            <w:pPr>
              <w:pStyle w:val="11"/>
            </w:pPr>
            <w:r>
              <w:t>50.00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26.37</w:t>
            </w:r>
          </w:p>
        </w:tc>
        <w:tc>
          <w:tcPr>
            <w:tcW w:w="1474" w:type="dxa"/>
            <w:vAlign w:val="center"/>
          </w:tcPr>
          <w:p>
            <w:pPr>
              <w:pStyle w:val="11"/>
            </w:pPr>
            <w:r>
              <w:t>26.37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5.61</w:t>
            </w:r>
          </w:p>
        </w:tc>
        <w:tc>
          <w:tcPr>
            <w:tcW w:w="1474" w:type="dxa"/>
            <w:vAlign w:val="center"/>
          </w:tcPr>
          <w:p>
            <w:pPr>
              <w:pStyle w:val="11"/>
            </w:pPr>
            <w:r>
              <w:t>5.61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50.00</w:t>
            </w:r>
          </w:p>
        </w:tc>
        <w:tc>
          <w:tcPr>
            <w:tcW w:w="1474" w:type="dxa"/>
            <w:vAlign w:val="center"/>
          </w:tcPr>
          <w:p>
            <w:pPr>
              <w:pStyle w:val="11"/>
            </w:pPr>
            <w:r>
              <w:t>50.00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8.56</w:t>
            </w:r>
          </w:p>
        </w:tc>
        <w:tc>
          <w:tcPr>
            <w:tcW w:w="1474" w:type="dxa"/>
            <w:vAlign w:val="center"/>
          </w:tcPr>
          <w:p>
            <w:pPr>
              <w:pStyle w:val="11"/>
            </w:pPr>
            <w:r>
              <w:t>8.56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238.24</w:t>
            </w:r>
          </w:p>
        </w:tc>
        <w:tc>
          <w:tcPr>
            <w:tcW w:w="3402" w:type="dxa"/>
            <w:vAlign w:val="center"/>
          </w:tcPr>
          <w:p>
            <w:pPr>
              <w:pStyle w:val="14"/>
            </w:pPr>
            <w:r>
              <w:t>本年支出合计</w:t>
            </w:r>
          </w:p>
        </w:tc>
        <w:tc>
          <w:tcPr>
            <w:tcW w:w="1474" w:type="dxa"/>
            <w:vAlign w:val="center"/>
          </w:tcPr>
          <w:p>
            <w:pPr>
              <w:pStyle w:val="15"/>
            </w:pPr>
            <w:r>
              <w:t>238.24</w:t>
            </w:r>
          </w:p>
        </w:tc>
        <w:tc>
          <w:tcPr>
            <w:tcW w:w="1474" w:type="dxa"/>
            <w:vAlign w:val="center"/>
          </w:tcPr>
          <w:p>
            <w:pPr>
              <w:pStyle w:val="15"/>
            </w:pPr>
            <w:r>
              <w:t>238.24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238.24</w:t>
            </w:r>
          </w:p>
        </w:tc>
        <w:tc>
          <w:tcPr>
            <w:tcW w:w="3402" w:type="dxa"/>
            <w:vAlign w:val="center"/>
          </w:tcPr>
          <w:p>
            <w:pPr>
              <w:pStyle w:val="14"/>
            </w:pPr>
            <w:r>
              <w:t>支出总计</w:t>
            </w:r>
          </w:p>
        </w:tc>
        <w:tc>
          <w:tcPr>
            <w:tcW w:w="1474" w:type="dxa"/>
            <w:vAlign w:val="center"/>
          </w:tcPr>
          <w:p>
            <w:pPr>
              <w:pStyle w:val="15"/>
            </w:pPr>
            <w:r>
              <w:t>238.24</w:t>
            </w:r>
          </w:p>
        </w:tc>
        <w:tc>
          <w:tcPr>
            <w:tcW w:w="1474" w:type="dxa"/>
            <w:vAlign w:val="center"/>
          </w:tcPr>
          <w:p>
            <w:pPr>
              <w:pStyle w:val="15"/>
            </w:pPr>
            <w:r>
              <w:t>238.24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304001曲阳县雕刻定瓷行业服务中心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238.24</w:t>
            </w:r>
          </w:p>
        </w:tc>
        <w:tc>
          <w:tcPr>
            <w:tcW w:w="2551" w:type="dxa"/>
            <w:vAlign w:val="center"/>
          </w:tcPr>
          <w:p>
            <w:pPr>
              <w:pStyle w:val="15"/>
            </w:pPr>
            <w:r>
              <w:t>138.24</w:t>
            </w:r>
          </w:p>
        </w:tc>
        <w:tc>
          <w:tcPr>
            <w:tcW w:w="2551" w:type="dxa"/>
            <w:vAlign w:val="center"/>
          </w:tcPr>
          <w:p>
            <w:pPr>
              <w:pStyle w:val="15"/>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97.70</w:t>
            </w:r>
          </w:p>
        </w:tc>
        <w:tc>
          <w:tcPr>
            <w:tcW w:w="2551" w:type="dxa"/>
            <w:vAlign w:val="center"/>
          </w:tcPr>
          <w:p>
            <w:pPr>
              <w:pStyle w:val="11"/>
            </w:pPr>
            <w:r>
              <w:t>97.70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97.70</w:t>
            </w:r>
          </w:p>
        </w:tc>
        <w:tc>
          <w:tcPr>
            <w:tcW w:w="2551" w:type="dxa"/>
            <w:vAlign w:val="center"/>
          </w:tcPr>
          <w:p>
            <w:pPr>
              <w:pStyle w:val="11"/>
            </w:pPr>
            <w:r>
              <w:t>97.70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48.01</w:t>
            </w:r>
          </w:p>
        </w:tc>
        <w:tc>
          <w:tcPr>
            <w:tcW w:w="2551" w:type="dxa"/>
            <w:vAlign w:val="center"/>
          </w:tcPr>
          <w:p>
            <w:pPr>
              <w:pStyle w:val="11"/>
            </w:pPr>
            <w:r>
              <w:t>48.01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49.69</w:t>
            </w:r>
          </w:p>
        </w:tc>
        <w:tc>
          <w:tcPr>
            <w:tcW w:w="2551" w:type="dxa"/>
            <w:vAlign w:val="center"/>
          </w:tcPr>
          <w:p>
            <w:pPr>
              <w:pStyle w:val="11"/>
            </w:pPr>
            <w:r>
              <w:t>49.69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26.37</w:t>
            </w:r>
          </w:p>
        </w:tc>
        <w:tc>
          <w:tcPr>
            <w:tcW w:w="2551" w:type="dxa"/>
            <w:vAlign w:val="center"/>
          </w:tcPr>
          <w:p>
            <w:pPr>
              <w:pStyle w:val="11"/>
            </w:pPr>
            <w:r>
              <w:t>26.37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26.37</w:t>
            </w:r>
          </w:p>
        </w:tc>
        <w:tc>
          <w:tcPr>
            <w:tcW w:w="2551" w:type="dxa"/>
            <w:vAlign w:val="center"/>
          </w:tcPr>
          <w:p>
            <w:pPr>
              <w:pStyle w:val="11"/>
            </w:pPr>
            <w:r>
              <w:t>26.37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14.91</w:t>
            </w:r>
          </w:p>
        </w:tc>
        <w:tc>
          <w:tcPr>
            <w:tcW w:w="2551" w:type="dxa"/>
            <w:vAlign w:val="center"/>
          </w:tcPr>
          <w:p>
            <w:pPr>
              <w:pStyle w:val="11"/>
            </w:pPr>
            <w:r>
              <w:t>14.91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11.46</w:t>
            </w:r>
          </w:p>
        </w:tc>
        <w:tc>
          <w:tcPr>
            <w:tcW w:w="2551" w:type="dxa"/>
            <w:vAlign w:val="center"/>
          </w:tcPr>
          <w:p>
            <w:pPr>
              <w:pStyle w:val="11"/>
            </w:pPr>
            <w:r>
              <w:t>11.46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5.61</w:t>
            </w:r>
          </w:p>
        </w:tc>
        <w:tc>
          <w:tcPr>
            <w:tcW w:w="2551" w:type="dxa"/>
            <w:vAlign w:val="center"/>
          </w:tcPr>
          <w:p>
            <w:pPr>
              <w:pStyle w:val="11"/>
            </w:pPr>
            <w:r>
              <w:t>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5.61</w:t>
            </w:r>
          </w:p>
        </w:tc>
        <w:tc>
          <w:tcPr>
            <w:tcW w:w="2551" w:type="dxa"/>
            <w:vAlign w:val="center"/>
          </w:tcPr>
          <w:p>
            <w:pPr>
              <w:pStyle w:val="11"/>
            </w:pPr>
            <w:r>
              <w:t>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1.88</w:t>
            </w:r>
          </w:p>
        </w:tc>
        <w:tc>
          <w:tcPr>
            <w:tcW w:w="2551" w:type="dxa"/>
            <w:vAlign w:val="center"/>
          </w:tcPr>
          <w:p>
            <w:pPr>
              <w:pStyle w:val="11"/>
            </w:pPr>
            <w:r>
              <w:t>1.88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3.73</w:t>
            </w:r>
          </w:p>
        </w:tc>
        <w:tc>
          <w:tcPr>
            <w:tcW w:w="2551" w:type="dxa"/>
            <w:vAlign w:val="center"/>
          </w:tcPr>
          <w:p>
            <w:pPr>
              <w:pStyle w:val="11"/>
            </w:pPr>
            <w:r>
              <w:t>3.73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21502</w:t>
            </w:r>
          </w:p>
        </w:tc>
        <w:tc>
          <w:tcPr>
            <w:tcW w:w="4535" w:type="dxa"/>
            <w:vAlign w:val="center"/>
          </w:tcPr>
          <w:p>
            <w:pPr>
              <w:pStyle w:val="12"/>
            </w:pPr>
            <w:r>
              <w:t>制造业</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2150202</w:t>
            </w:r>
          </w:p>
        </w:tc>
        <w:tc>
          <w:tcPr>
            <w:tcW w:w="4535" w:type="dxa"/>
            <w:vAlign w:val="center"/>
          </w:tcPr>
          <w:p>
            <w:pPr>
              <w:pStyle w:val="12"/>
            </w:pPr>
            <w:r>
              <w:t>一般行政管理事务</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8.56</w:t>
            </w:r>
          </w:p>
        </w:tc>
        <w:tc>
          <w:tcPr>
            <w:tcW w:w="2551" w:type="dxa"/>
            <w:vAlign w:val="center"/>
          </w:tcPr>
          <w:p>
            <w:pPr>
              <w:pStyle w:val="11"/>
            </w:pPr>
            <w:r>
              <w:t>8.56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8.56</w:t>
            </w:r>
          </w:p>
        </w:tc>
        <w:tc>
          <w:tcPr>
            <w:tcW w:w="2551" w:type="dxa"/>
            <w:vAlign w:val="center"/>
          </w:tcPr>
          <w:p>
            <w:pPr>
              <w:pStyle w:val="11"/>
            </w:pPr>
            <w:r>
              <w:t>8.56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8.56</w:t>
            </w:r>
          </w:p>
        </w:tc>
        <w:tc>
          <w:tcPr>
            <w:tcW w:w="2551" w:type="dxa"/>
            <w:vAlign w:val="center"/>
          </w:tcPr>
          <w:p>
            <w:pPr>
              <w:pStyle w:val="11"/>
            </w:pPr>
            <w:r>
              <w:t>8.56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304001曲阳县雕刻定瓷行业服务中心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138.24</w:t>
            </w:r>
          </w:p>
        </w:tc>
        <w:tc>
          <w:tcPr>
            <w:tcW w:w="2551" w:type="dxa"/>
            <w:vAlign w:val="center"/>
          </w:tcPr>
          <w:p>
            <w:pPr>
              <w:pStyle w:val="15"/>
            </w:pPr>
            <w:r>
              <w:t>128.16</w:t>
            </w:r>
          </w:p>
        </w:tc>
        <w:tc>
          <w:tcPr>
            <w:tcW w:w="2551" w:type="dxa"/>
            <w:vAlign w:val="center"/>
          </w:tcPr>
          <w:p>
            <w:pPr>
              <w:pStyle w:val="15"/>
            </w:pPr>
            <w:r>
              <w:t>10.08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112.33</w:t>
            </w:r>
          </w:p>
        </w:tc>
        <w:tc>
          <w:tcPr>
            <w:tcW w:w="2551" w:type="dxa"/>
            <w:vAlign w:val="center"/>
          </w:tcPr>
          <w:p>
            <w:pPr>
              <w:pStyle w:val="11"/>
            </w:pPr>
            <w:r>
              <w:t>112.33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45.90</w:t>
            </w:r>
          </w:p>
        </w:tc>
        <w:tc>
          <w:tcPr>
            <w:tcW w:w="2551" w:type="dxa"/>
            <w:vAlign w:val="center"/>
          </w:tcPr>
          <w:p>
            <w:pPr>
              <w:pStyle w:val="11"/>
            </w:pPr>
            <w:r>
              <w:t>45.90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13.05</w:t>
            </w:r>
          </w:p>
        </w:tc>
        <w:tc>
          <w:tcPr>
            <w:tcW w:w="2551" w:type="dxa"/>
            <w:vAlign w:val="center"/>
          </w:tcPr>
          <w:p>
            <w:pPr>
              <w:pStyle w:val="11"/>
            </w:pPr>
            <w:r>
              <w:t>13.05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5.75</w:t>
            </w:r>
          </w:p>
        </w:tc>
        <w:tc>
          <w:tcPr>
            <w:tcW w:w="2551" w:type="dxa"/>
            <w:vAlign w:val="center"/>
          </w:tcPr>
          <w:p>
            <w:pPr>
              <w:pStyle w:val="11"/>
            </w:pPr>
            <w:r>
              <w:t>5.75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18.50</w:t>
            </w:r>
          </w:p>
        </w:tc>
        <w:tc>
          <w:tcPr>
            <w:tcW w:w="2551" w:type="dxa"/>
            <w:vAlign w:val="center"/>
          </w:tcPr>
          <w:p>
            <w:pPr>
              <w:pStyle w:val="11"/>
            </w:pPr>
            <w:r>
              <w:t>18.50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11.46</w:t>
            </w:r>
          </w:p>
        </w:tc>
        <w:tc>
          <w:tcPr>
            <w:tcW w:w="2551" w:type="dxa"/>
            <w:vAlign w:val="center"/>
          </w:tcPr>
          <w:p>
            <w:pPr>
              <w:pStyle w:val="11"/>
            </w:pPr>
            <w:r>
              <w:t>11.46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5.61</w:t>
            </w:r>
          </w:p>
        </w:tc>
        <w:tc>
          <w:tcPr>
            <w:tcW w:w="2551" w:type="dxa"/>
            <w:vAlign w:val="center"/>
          </w:tcPr>
          <w:p>
            <w:pPr>
              <w:pStyle w:val="11"/>
            </w:pPr>
            <w:r>
              <w:t>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2.69</w:t>
            </w:r>
          </w:p>
        </w:tc>
        <w:tc>
          <w:tcPr>
            <w:tcW w:w="2551" w:type="dxa"/>
            <w:vAlign w:val="center"/>
          </w:tcPr>
          <w:p>
            <w:pPr>
              <w:pStyle w:val="11"/>
            </w:pPr>
            <w:r>
              <w:t>2.69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0.81</w:t>
            </w:r>
          </w:p>
        </w:tc>
        <w:tc>
          <w:tcPr>
            <w:tcW w:w="2551" w:type="dxa"/>
            <w:vAlign w:val="center"/>
          </w:tcPr>
          <w:p>
            <w:pPr>
              <w:pStyle w:val="11"/>
            </w:pPr>
            <w:r>
              <w:t>0.81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8.56</w:t>
            </w:r>
          </w:p>
        </w:tc>
        <w:tc>
          <w:tcPr>
            <w:tcW w:w="2551" w:type="dxa"/>
            <w:vAlign w:val="center"/>
          </w:tcPr>
          <w:p>
            <w:pPr>
              <w:pStyle w:val="11"/>
            </w:pPr>
            <w:r>
              <w:t>8.56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10.08</w:t>
            </w:r>
          </w:p>
        </w:tc>
        <w:tc>
          <w:tcPr>
            <w:tcW w:w="2551" w:type="dxa"/>
            <w:vAlign w:val="center"/>
          </w:tcPr>
          <w:p>
            <w:pPr>
              <w:pStyle w:val="11"/>
            </w:pPr>
          </w:p>
        </w:tc>
        <w:tc>
          <w:tcPr>
            <w:tcW w:w="2551" w:type="dxa"/>
            <w:vAlign w:val="center"/>
          </w:tcPr>
          <w:p>
            <w:pPr>
              <w:pStyle w:val="11"/>
            </w:pPr>
            <w:r>
              <w:t>10.08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1.22</w:t>
            </w:r>
          </w:p>
        </w:tc>
        <w:tc>
          <w:tcPr>
            <w:tcW w:w="2551" w:type="dxa"/>
            <w:vAlign w:val="center"/>
          </w:tcPr>
          <w:p>
            <w:pPr>
              <w:pStyle w:val="11"/>
            </w:pPr>
          </w:p>
        </w:tc>
        <w:tc>
          <w:tcPr>
            <w:tcW w:w="2551" w:type="dxa"/>
            <w:vAlign w:val="center"/>
          </w:tcPr>
          <w:p>
            <w:pPr>
              <w:pStyle w:val="11"/>
            </w:pPr>
            <w:r>
              <w:t>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1.78</w:t>
            </w:r>
          </w:p>
        </w:tc>
        <w:tc>
          <w:tcPr>
            <w:tcW w:w="2551" w:type="dxa"/>
            <w:vAlign w:val="center"/>
          </w:tcPr>
          <w:p>
            <w:pPr>
              <w:pStyle w:val="11"/>
            </w:pPr>
          </w:p>
        </w:tc>
        <w:tc>
          <w:tcPr>
            <w:tcW w:w="2551" w:type="dxa"/>
            <w:vAlign w:val="center"/>
          </w:tcPr>
          <w:p>
            <w:pPr>
              <w:pStyle w:val="11"/>
            </w:pPr>
            <w:r>
              <w:t>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0.73</w:t>
            </w:r>
          </w:p>
        </w:tc>
        <w:tc>
          <w:tcPr>
            <w:tcW w:w="2551" w:type="dxa"/>
            <w:vAlign w:val="center"/>
          </w:tcPr>
          <w:p>
            <w:pPr>
              <w:pStyle w:val="11"/>
            </w:pPr>
          </w:p>
        </w:tc>
        <w:tc>
          <w:tcPr>
            <w:tcW w:w="2551" w:type="dxa"/>
            <w:vAlign w:val="center"/>
          </w:tcPr>
          <w:p>
            <w:pPr>
              <w:pStyle w:val="11"/>
            </w:pPr>
            <w:r>
              <w:t>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1.15</w:t>
            </w:r>
          </w:p>
        </w:tc>
        <w:tc>
          <w:tcPr>
            <w:tcW w:w="2551" w:type="dxa"/>
            <w:vAlign w:val="center"/>
          </w:tcPr>
          <w:p>
            <w:pPr>
              <w:pStyle w:val="11"/>
            </w:pPr>
          </w:p>
        </w:tc>
        <w:tc>
          <w:tcPr>
            <w:tcW w:w="2551" w:type="dxa"/>
            <w:vAlign w:val="center"/>
          </w:tcPr>
          <w:p>
            <w:pPr>
              <w:pStyle w:val="11"/>
            </w:pPr>
            <w:r>
              <w:t>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2.52</w:t>
            </w:r>
          </w:p>
        </w:tc>
        <w:tc>
          <w:tcPr>
            <w:tcW w:w="2551" w:type="dxa"/>
            <w:vAlign w:val="center"/>
          </w:tcPr>
          <w:p>
            <w:pPr>
              <w:pStyle w:val="11"/>
            </w:pPr>
          </w:p>
        </w:tc>
        <w:tc>
          <w:tcPr>
            <w:tcW w:w="2551" w:type="dxa"/>
            <w:vAlign w:val="center"/>
          </w:tcPr>
          <w:p>
            <w:pPr>
              <w:pStyle w:val="11"/>
            </w:pPr>
            <w:r>
              <w:t>2.52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15.83</w:t>
            </w:r>
          </w:p>
        </w:tc>
        <w:tc>
          <w:tcPr>
            <w:tcW w:w="2551" w:type="dxa"/>
            <w:vAlign w:val="center"/>
          </w:tcPr>
          <w:p>
            <w:pPr>
              <w:pStyle w:val="11"/>
            </w:pPr>
            <w:r>
              <w:t>15.83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14.91</w:t>
            </w:r>
          </w:p>
        </w:tc>
        <w:tc>
          <w:tcPr>
            <w:tcW w:w="2551" w:type="dxa"/>
            <w:vAlign w:val="center"/>
          </w:tcPr>
          <w:p>
            <w:pPr>
              <w:pStyle w:val="11"/>
            </w:pPr>
            <w:r>
              <w:t>14.91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0.92</w:t>
            </w:r>
          </w:p>
        </w:tc>
        <w:tc>
          <w:tcPr>
            <w:tcW w:w="2551" w:type="dxa"/>
            <w:vAlign w:val="center"/>
          </w:tcPr>
          <w:p>
            <w:pPr>
              <w:pStyle w:val="11"/>
            </w:pPr>
            <w:r>
              <w:t>0.92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304001曲阳县雕刻定瓷行业服务中心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304001曲阳县雕刻定瓷行业服务中心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304001曲阳县雕刻定瓷行业服务中心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曲阳县雕刻定瓷行业服务中心2025年单位预算信息公开情况说明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按照《中华人民共和国预算法》、《地方预决算公开操作规程》和《关于进一步推进预算公开工作的实施意见》规定，现将曲阳县雕刻定瓷行业服务中心2025年单位预算公开如下：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根据《曲阳县机构编制委员会关于组建去演雕刻行业管理办公室的通知》曲机编字【2003】5号文件，雕刻行业管理办公室肩负着对全县石材雕刻行业实施规划、指导、管理、协调、服务的职能，其具体职责是：</w:t>
      </w:r>
    </w:p>
    <w:p>
      <w:pPr>
        <w:pStyle w:val="22"/>
      </w:pPr>
      <w:r>
        <w:t>（一）曲阳县雕刻行业管理办公室肩负着对全县石材雕刻业实施规划、指导、管理、协调、服务的职能；研究制定全县石材雕刻业发展规划及相关政策；</w:t>
      </w:r>
    </w:p>
    <w:p>
      <w:pPr>
        <w:pStyle w:val="22"/>
      </w:pPr>
      <w:r>
        <w:t>（二）对全县石材雕刻企业实施资质证、质检证、职称证的“三证”管理，监督检查、规范企业生产、经营行为；</w:t>
      </w:r>
    </w:p>
    <w:p>
      <w:pPr>
        <w:pStyle w:val="22"/>
      </w:pPr>
      <w:r>
        <w:t>（三）组织实施东方雕刻城战略，加快雕刻业向集约化、规模化方向发展；</w:t>
      </w:r>
    </w:p>
    <w:p>
      <w:pPr>
        <w:pStyle w:val="22"/>
      </w:pPr>
      <w:r>
        <w:t>（四）组建和指导石材雕刻行业协会工作，制定行规、行约，实行行业自律；</w:t>
      </w:r>
    </w:p>
    <w:p>
      <w:pPr>
        <w:pStyle w:val="22"/>
      </w:pPr>
      <w:r>
        <w:t>（五）保护石材雕刻企业的合法权益，维护正常的生产经营秩序和曲阳雕刻之乡的形象；做好对外宣传和协调服务工作。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曲阳县雕刻定瓷行业服务中心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3"/>
      </w:pPr>
      <w:r>
        <w:t>按照预算管理有关规定，目前</w:t>
      </w:r>
      <w:r>
        <w:rPr>
          <w:rFonts w:hint="eastAsia"/>
          <w:lang w:val="en-US" w:eastAsia="zh-CN"/>
        </w:rPr>
        <w:t>单位</w:t>
      </w:r>
      <w:r>
        <w:t>预算的编制实行综合预算管理，即全部收入和支出都反映在预算中。</w:t>
      </w:r>
    </w:p>
    <w:p>
      <w:pPr>
        <w:pStyle w:val="23"/>
      </w:pPr>
      <w:r>
        <w:t>1、收入说明</w:t>
      </w:r>
    </w:p>
    <w:p>
      <w:pPr>
        <w:pStyle w:val="23"/>
      </w:pPr>
      <w:r>
        <w:t>反映本</w:t>
      </w:r>
      <w:r>
        <w:rPr>
          <w:rFonts w:hint="eastAsia"/>
          <w:lang w:val="en-US" w:eastAsia="zh-CN"/>
        </w:rPr>
        <w:t>单位</w:t>
      </w:r>
      <w:r>
        <w:t>当年全部收入。202</w:t>
      </w:r>
      <w:r>
        <w:rPr>
          <w:rFonts w:hint="eastAsia"/>
          <w:lang w:val="en-US" w:eastAsia="zh-CN"/>
        </w:rPr>
        <w:t>5</w:t>
      </w:r>
      <w:r>
        <w:t>年预算收入</w:t>
      </w:r>
      <w:r>
        <w:rPr>
          <w:rFonts w:hint="eastAsia"/>
          <w:lang w:val="en-US" w:eastAsia="zh-CN"/>
        </w:rPr>
        <w:t>238.24</w:t>
      </w:r>
      <w:r>
        <w:t>万元，其中：一般公共预算收入</w:t>
      </w:r>
      <w:r>
        <w:rPr>
          <w:rFonts w:hint="eastAsia"/>
          <w:lang w:val="en-US" w:eastAsia="zh-CN"/>
        </w:rPr>
        <w:t>238.24</w:t>
      </w:r>
      <w:r>
        <w:t>万元，基金预算收入0.00万元，国有资本经营预算收入0.00万元，财政专户核拨收入0.00万元，单位资金收入0.00万元，上年结转结余0.00万元。</w:t>
      </w:r>
    </w:p>
    <w:p>
      <w:pPr>
        <w:pStyle w:val="23"/>
      </w:pPr>
      <w:r>
        <w:t>2、支出说明</w:t>
      </w:r>
    </w:p>
    <w:p>
      <w:pPr>
        <w:pStyle w:val="23"/>
      </w:pPr>
      <w:r>
        <w:t>收支预算总表支出栏、基本支出表、项目支出表按经济分类和支出功能分类科目编制，反映曲阳县雕刻定瓷行业服务中心年度</w:t>
      </w:r>
      <w:r>
        <w:rPr>
          <w:rFonts w:hint="eastAsia"/>
          <w:lang w:val="en-US" w:eastAsia="zh-CN"/>
        </w:rPr>
        <w:t>单位</w:t>
      </w:r>
      <w:r>
        <w:t>预算中支出预算的总体情况。202</w:t>
      </w:r>
      <w:r>
        <w:rPr>
          <w:rFonts w:hint="eastAsia"/>
          <w:lang w:val="en-US" w:eastAsia="zh-CN"/>
        </w:rPr>
        <w:t>5</w:t>
      </w:r>
      <w:r>
        <w:t>年支出预算</w:t>
      </w:r>
      <w:r>
        <w:rPr>
          <w:rFonts w:hint="eastAsia"/>
          <w:lang w:val="en-US" w:eastAsia="zh-CN"/>
        </w:rPr>
        <w:t>238.24</w:t>
      </w:r>
      <w:r>
        <w:t>万元，其中基本支出</w:t>
      </w:r>
      <w:r>
        <w:rPr>
          <w:rFonts w:hint="eastAsia"/>
          <w:lang w:val="en-US" w:eastAsia="zh-CN"/>
        </w:rPr>
        <w:t>138.24</w:t>
      </w:r>
      <w:r>
        <w:t>万元，包括人员经费</w:t>
      </w:r>
      <w:r>
        <w:rPr>
          <w:rFonts w:hint="eastAsia"/>
          <w:lang w:val="en-US" w:eastAsia="zh-CN"/>
        </w:rPr>
        <w:t>128.16</w:t>
      </w:r>
      <w:r>
        <w:t>万元和日常公用经费</w:t>
      </w:r>
      <w:r>
        <w:rPr>
          <w:rFonts w:hint="eastAsia"/>
          <w:lang w:val="en-US" w:eastAsia="zh-CN"/>
        </w:rPr>
        <w:t>10.08</w:t>
      </w:r>
      <w:r>
        <w:t>万元；项目支出</w:t>
      </w:r>
      <w:r>
        <w:rPr>
          <w:rFonts w:hint="eastAsia"/>
          <w:lang w:val="en-US" w:eastAsia="zh-CN"/>
        </w:rPr>
        <w:t>100</w:t>
      </w:r>
      <w:r>
        <w:t>万元，主要为雕刻办专项业务经费</w:t>
      </w:r>
      <w:r>
        <w:rPr>
          <w:rFonts w:hint="eastAsia"/>
          <w:lang w:eastAsia="zh-CN"/>
        </w:rPr>
        <w:t>项目</w:t>
      </w:r>
      <w:r>
        <w:t>；</w:t>
      </w:r>
    </w:p>
    <w:p>
      <w:pPr>
        <w:pStyle w:val="23"/>
      </w:pPr>
      <w:r>
        <w:t>3、比上年增减情况</w:t>
      </w:r>
    </w:p>
    <w:p>
      <w:pPr>
        <w:pStyle w:val="23"/>
        <w:rPr>
          <w:rFonts w:hint="eastAsia"/>
          <w:lang w:eastAsia="zh-CN"/>
        </w:rPr>
      </w:pPr>
      <w:r>
        <w:t>202</w:t>
      </w:r>
      <w:r>
        <w:rPr>
          <w:rFonts w:hint="eastAsia"/>
          <w:lang w:val="en-US" w:eastAsia="zh-CN"/>
        </w:rPr>
        <w:t>5</w:t>
      </w:r>
      <w:r>
        <w:t>年预算收支安排</w:t>
      </w:r>
      <w:r>
        <w:rPr>
          <w:rFonts w:hint="eastAsia"/>
          <w:lang w:val="en-US" w:eastAsia="zh-CN"/>
        </w:rPr>
        <w:t>238.24</w:t>
      </w:r>
      <w:r>
        <w:t>万元，较202</w:t>
      </w:r>
      <w:r>
        <w:rPr>
          <w:rFonts w:hint="eastAsia"/>
          <w:lang w:val="en-US" w:eastAsia="zh-CN"/>
        </w:rPr>
        <w:t>4</w:t>
      </w:r>
      <w:r>
        <w:t>年预算减少</w:t>
      </w:r>
      <w:r>
        <w:rPr>
          <w:rFonts w:hint="eastAsia"/>
          <w:lang w:val="en-US" w:eastAsia="zh-CN"/>
        </w:rPr>
        <w:t>140.55</w:t>
      </w:r>
      <w:r>
        <w:t>万元，其中：基本支出</w:t>
      </w:r>
      <w:r>
        <w:rPr>
          <w:rFonts w:hint="eastAsia"/>
          <w:lang w:val="en-US" w:eastAsia="zh-CN"/>
        </w:rPr>
        <w:t>减少31.59</w:t>
      </w:r>
      <w:r>
        <w:t>万元，主要为人员工</w:t>
      </w:r>
      <w:r>
        <w:rPr>
          <w:rFonts w:hint="eastAsia"/>
          <w:lang w:val="en-US" w:eastAsia="zh-CN"/>
        </w:rPr>
        <w:t>减少</w:t>
      </w:r>
      <w:r>
        <w:t>。项目支出减少</w:t>
      </w:r>
      <w:r>
        <w:rPr>
          <w:rFonts w:hint="eastAsia"/>
          <w:lang w:val="en-US" w:eastAsia="zh-CN"/>
        </w:rPr>
        <w:t>108.96</w:t>
      </w:r>
      <w:r>
        <w:t>万元，主要为工艺美术大师奖励经费项目支出减少</w:t>
      </w:r>
      <w:r>
        <w:rPr>
          <w:rFonts w:hint="eastAsia"/>
          <w:lang w:eastAsia="zh-CN"/>
        </w:rPr>
        <w:t>。</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4"/>
      </w:pPr>
      <w:r>
        <w:t>202</w:t>
      </w:r>
      <w:r>
        <w:rPr>
          <w:rFonts w:hint="eastAsia" w:eastAsiaTheme="minorEastAsia"/>
          <w:lang w:val="en-US" w:eastAsia="zh-CN"/>
        </w:rPr>
        <w:t>5</w:t>
      </w:r>
      <w:r>
        <w:t>年，我</w:t>
      </w:r>
      <w:r>
        <w:rPr>
          <w:rFonts w:hint="eastAsia" w:eastAsiaTheme="minorEastAsia"/>
          <w:lang w:val="en-US" w:eastAsia="zh-CN"/>
        </w:rPr>
        <w:t>单位</w:t>
      </w:r>
      <w:r>
        <w:t>机关运行经费共计安排</w:t>
      </w:r>
      <w:r>
        <w:rPr>
          <w:rFonts w:hint="eastAsia"/>
          <w:lang w:val="en-US" w:eastAsia="zh-CN"/>
        </w:rPr>
        <w:t>10.08</w:t>
      </w:r>
      <w:r>
        <w:t>万元，主要用于</w:t>
      </w:r>
      <w:r>
        <w:rPr>
          <w:rFonts w:hint="eastAsia"/>
          <w:lang w:val="en-US" w:eastAsia="zh-CN"/>
        </w:rPr>
        <w:t>日常维修、办公用房水电费、办公用房取暖费、办公用房物业管理费等日常运行支出。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5"/>
      </w:pPr>
      <w:r>
        <w:t>2025年，我</w:t>
      </w:r>
      <w:r>
        <w:rPr>
          <w:rFonts w:hint="eastAsia"/>
          <w:lang w:val="en-US" w:eastAsia="zh-CN"/>
        </w:rPr>
        <w:t>单位</w:t>
      </w:r>
      <w:r>
        <w:t>财政拨款“三公”经费预算安排</w:t>
      </w:r>
      <w:r>
        <w:rPr>
          <w:rFonts w:hint="eastAsia"/>
        </w:rPr>
        <w:t>0.00万元，其中因公出国（境）费0.00万元； 公务用车购置及运维费0.00万元（其中：公务用车购置费为0.00万元，公务用车运维费0.00万元)； 公务接待费0.00万元。与2024年相比增加0.00万元， 增减变化的主要原因</w:t>
      </w:r>
      <w:r>
        <w:t>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1、雕刻办专项业务经费项目绩效目标表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13063425P00001910003R</w:t>
            </w:r>
          </w:p>
        </w:tc>
        <w:tc>
          <w:tcPr>
            <w:tcW w:w="2835" w:type="dxa"/>
            <w:vAlign w:val="center"/>
          </w:tcPr>
          <w:p>
            <w:pPr>
              <w:pStyle w:val="10"/>
            </w:pPr>
            <w:r>
              <w:t>项目名称</w:t>
            </w:r>
          </w:p>
        </w:tc>
        <w:tc>
          <w:tcPr>
            <w:tcW w:w="6095" w:type="dxa"/>
            <w:gridSpan w:val="3"/>
            <w:vAlign w:val="center"/>
          </w:tcPr>
          <w:p>
            <w:pPr>
              <w:pStyle w:val="12"/>
            </w:pPr>
            <w:r>
              <w:t>雕刻办专项业务经费项目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预算资金50万元，其中一般公共预算50万元，主要用于雕刻展厅正常运转和省级以上大赛支出，按工作进度拨付。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25.00</w:t>
            </w:r>
          </w:p>
        </w:tc>
        <w:tc>
          <w:tcPr>
            <w:tcW w:w="2551" w:type="dxa"/>
            <w:vAlign w:val="center"/>
          </w:tcPr>
          <w:p>
            <w:pPr>
              <w:pStyle w:val="13"/>
            </w:pPr>
            <w:r>
              <w:t>35.00</w:t>
            </w:r>
          </w:p>
        </w:tc>
        <w:tc>
          <w:tcPr>
            <w:tcW w:w="3544" w:type="dxa"/>
            <w:gridSpan w:val="2"/>
            <w:vAlign w:val="center"/>
          </w:tcPr>
          <w:p>
            <w:pPr>
              <w:pStyle w:val="13"/>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1.完成雕刻展厅接待任务和大赛的组织参展等工作。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雕刻定瓷大师外出参展交流人数</w:t>
            </w:r>
          </w:p>
        </w:tc>
        <w:tc>
          <w:tcPr>
            <w:tcW w:w="5386" w:type="dxa"/>
            <w:vAlign w:val="center"/>
          </w:tcPr>
          <w:p>
            <w:pPr>
              <w:pStyle w:val="12"/>
            </w:pPr>
            <w:r>
              <w:t>组织雕刻定瓷大师外出参展交流人数</w:t>
            </w:r>
          </w:p>
        </w:tc>
        <w:tc>
          <w:tcPr>
            <w:tcW w:w="2268" w:type="dxa"/>
            <w:vAlign w:val="center"/>
          </w:tcPr>
          <w:p>
            <w:pPr>
              <w:pStyle w:val="12"/>
            </w:pPr>
            <w:r>
              <w:t>≥100人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雕塑大赛活动完成率</w:t>
            </w:r>
          </w:p>
        </w:tc>
        <w:tc>
          <w:tcPr>
            <w:tcW w:w="5386" w:type="dxa"/>
            <w:vAlign w:val="center"/>
          </w:tcPr>
          <w:p>
            <w:pPr>
              <w:pStyle w:val="12"/>
            </w:pPr>
            <w:r>
              <w:t>雕塑大赛活动完成率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雕塑大赛完成及时率</w:t>
            </w:r>
          </w:p>
        </w:tc>
        <w:tc>
          <w:tcPr>
            <w:tcW w:w="5386" w:type="dxa"/>
            <w:vAlign w:val="center"/>
          </w:tcPr>
          <w:p>
            <w:pPr>
              <w:pStyle w:val="12"/>
            </w:pPr>
            <w:r>
              <w:t>雕塑大赛完成及时率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雕塑大赛成本控制数</w:t>
            </w:r>
          </w:p>
        </w:tc>
        <w:tc>
          <w:tcPr>
            <w:tcW w:w="5386" w:type="dxa"/>
            <w:vAlign w:val="center"/>
          </w:tcPr>
          <w:p>
            <w:pPr>
              <w:pStyle w:val="12"/>
            </w:pPr>
            <w:r>
              <w:t>雕塑大赛成本控制数</w:t>
            </w:r>
          </w:p>
        </w:tc>
        <w:tc>
          <w:tcPr>
            <w:tcW w:w="2268" w:type="dxa"/>
            <w:vAlign w:val="center"/>
          </w:tcPr>
          <w:p>
            <w:pPr>
              <w:pStyle w:val="12"/>
            </w:pPr>
            <w:r>
              <w:t>≤30万元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雕刻作品创新提升情况</w:t>
            </w:r>
          </w:p>
        </w:tc>
        <w:tc>
          <w:tcPr>
            <w:tcW w:w="5386" w:type="dxa"/>
            <w:vAlign w:val="center"/>
          </w:tcPr>
          <w:p>
            <w:pPr>
              <w:pStyle w:val="12"/>
            </w:pPr>
            <w:r>
              <w:t>雕刻作品创新提升情况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受益人群满意度</w:t>
            </w:r>
          </w:p>
        </w:tc>
        <w:tc>
          <w:tcPr>
            <w:tcW w:w="5386" w:type="dxa"/>
            <w:vAlign w:val="center"/>
          </w:tcPr>
          <w:p>
            <w:pPr>
              <w:pStyle w:val="12"/>
            </w:pPr>
            <w:r>
              <w:t>为雕塑定瓷大师提供的服务质量调查中满意的人数占总调查人数的比例</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2、工艺美术大师奖励经费绩效目标表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13063425P00620A10005E</w:t>
            </w:r>
          </w:p>
        </w:tc>
        <w:tc>
          <w:tcPr>
            <w:tcW w:w="2835" w:type="dxa"/>
            <w:vAlign w:val="center"/>
          </w:tcPr>
          <w:p>
            <w:pPr>
              <w:pStyle w:val="10"/>
            </w:pPr>
            <w:r>
              <w:t>项目名称</w:t>
            </w:r>
          </w:p>
        </w:tc>
        <w:tc>
          <w:tcPr>
            <w:tcW w:w="6095" w:type="dxa"/>
            <w:gridSpan w:val="3"/>
            <w:vAlign w:val="center"/>
          </w:tcPr>
          <w:p>
            <w:pPr>
              <w:pStyle w:val="12"/>
            </w:pPr>
            <w:r>
              <w:t>工艺美术大师奖励经费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预算资金50万元，其中一般公共预算50万元，主要用于工艺美术大师奖励金支出，按工作进度拨付。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1.按时发放工艺美术大师的津补贴、奖励金以及获奖作品奖金。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工艺美术大师奖励人数</w:t>
            </w:r>
          </w:p>
        </w:tc>
        <w:tc>
          <w:tcPr>
            <w:tcW w:w="5386" w:type="dxa"/>
            <w:vAlign w:val="center"/>
          </w:tcPr>
          <w:p>
            <w:pPr>
              <w:pStyle w:val="12"/>
            </w:pPr>
            <w:r>
              <w:t>工艺美术大师奖励人数</w:t>
            </w:r>
          </w:p>
        </w:tc>
        <w:tc>
          <w:tcPr>
            <w:tcW w:w="2268" w:type="dxa"/>
            <w:vAlign w:val="center"/>
          </w:tcPr>
          <w:p>
            <w:pPr>
              <w:pStyle w:val="12"/>
            </w:pPr>
            <w:r>
              <w:t>≥60人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奖金发放覆盖率</w:t>
            </w:r>
          </w:p>
        </w:tc>
        <w:tc>
          <w:tcPr>
            <w:tcW w:w="5386" w:type="dxa"/>
            <w:vAlign w:val="center"/>
          </w:tcPr>
          <w:p>
            <w:pPr>
              <w:pStyle w:val="12"/>
            </w:pPr>
            <w:r>
              <w:t>奖金发放覆盖率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奖金发放及时率</w:t>
            </w:r>
          </w:p>
        </w:tc>
        <w:tc>
          <w:tcPr>
            <w:tcW w:w="5386" w:type="dxa"/>
            <w:vAlign w:val="center"/>
          </w:tcPr>
          <w:p>
            <w:pPr>
              <w:pStyle w:val="12"/>
            </w:pPr>
            <w:r>
              <w:t>奖金发放及时率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人均奖励标准</w:t>
            </w:r>
          </w:p>
        </w:tc>
        <w:tc>
          <w:tcPr>
            <w:tcW w:w="5386" w:type="dxa"/>
            <w:vAlign w:val="center"/>
          </w:tcPr>
          <w:p>
            <w:pPr>
              <w:pStyle w:val="12"/>
            </w:pPr>
            <w:r>
              <w:t>人均奖励标准</w:t>
            </w:r>
          </w:p>
        </w:tc>
        <w:tc>
          <w:tcPr>
            <w:tcW w:w="2268" w:type="dxa"/>
            <w:vAlign w:val="center"/>
          </w:tcPr>
          <w:p>
            <w:pPr>
              <w:pStyle w:val="12"/>
            </w:pPr>
            <w:r>
              <w:t>≥3000元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带动工艺美术大师参评</w:t>
            </w:r>
          </w:p>
        </w:tc>
        <w:tc>
          <w:tcPr>
            <w:tcW w:w="5386" w:type="dxa"/>
            <w:vAlign w:val="center"/>
          </w:tcPr>
          <w:p>
            <w:pPr>
              <w:pStyle w:val="12"/>
            </w:pPr>
            <w:r>
              <w:t>带动工艺美术大师参评率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rPr>
                <w:rFonts w:hint="eastAsia"/>
                <w:lang w:eastAsia="zh-CN"/>
              </w:rPr>
              <w:t>受益</w:t>
            </w:r>
            <w:r>
              <w:t>人群满意度</w:t>
            </w:r>
          </w:p>
        </w:tc>
        <w:tc>
          <w:tcPr>
            <w:tcW w:w="5386" w:type="dxa"/>
            <w:vAlign w:val="center"/>
          </w:tcPr>
          <w:p>
            <w:pPr>
              <w:pStyle w:val="12"/>
            </w:pPr>
            <w:r>
              <w:t>为雕塑定瓷大师提供的服务质量调查中满意的人数占总调查人数的比例</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304001曲阳县雕刻定瓷行业服务中心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2.22</w:t>
            </w:r>
          </w:p>
        </w:tc>
        <w:tc>
          <w:tcPr>
            <w:tcW w:w="964" w:type="dxa"/>
            <w:vAlign w:val="center"/>
          </w:tcPr>
          <w:p>
            <w:pPr>
              <w:pStyle w:val="15"/>
            </w:pPr>
            <w:r>
              <w:t>2.22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曲阳县雕刻定瓷行业服务中心小计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2.22</w:t>
            </w:r>
          </w:p>
        </w:tc>
        <w:tc>
          <w:tcPr>
            <w:tcW w:w="964" w:type="dxa"/>
            <w:vAlign w:val="center"/>
          </w:tcPr>
          <w:p>
            <w:pPr>
              <w:pStyle w:val="15"/>
            </w:pPr>
            <w:r>
              <w:t>2.22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4.30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1.22</w:t>
            </w:r>
          </w:p>
        </w:tc>
        <w:tc>
          <w:tcPr>
            <w:tcW w:w="964" w:type="dxa"/>
            <w:vAlign w:val="center"/>
          </w:tcPr>
          <w:p>
            <w:pPr>
              <w:pStyle w:val="11"/>
            </w:pPr>
            <w:r>
              <w:t>1.22</w:t>
            </w:r>
          </w:p>
        </w:tc>
        <w:tc>
          <w:tcPr>
            <w:tcW w:w="964" w:type="dxa"/>
            <w:vAlign w:val="center"/>
          </w:tcPr>
          <w:p>
            <w:pPr>
              <w:pStyle w:val="11"/>
            </w:pPr>
            <w:r>
              <w:t>1.22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雕刻办专项业务经费项目</w:t>
            </w:r>
          </w:p>
        </w:tc>
        <w:tc>
          <w:tcPr>
            <w:tcW w:w="964" w:type="dxa"/>
            <w:vAlign w:val="center"/>
          </w:tcPr>
          <w:p>
            <w:pPr>
              <w:pStyle w:val="11"/>
            </w:pPr>
            <w:r>
              <w:t>50.00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曲阳县雕刻定瓷行业服务中心上年末固定资产金额为0.00万元（详见下表）。本年度拟购置固定资产总额为0.00万元，已按要求列入政府采购预算，详见政府采购预算表。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304001曲阳县雕刻定瓷行业服务中心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shd w:val="clear" w:color="auto" w:fill="auto"/>
            <w:vAlign w:val="center"/>
          </w:tcPr>
          <w:p>
            <w:pPr>
              <w:pStyle w:val="10"/>
              <w:ind w:firstLine="0" w:firstLineChars="0"/>
              <w:rPr>
                <w:rFonts w:ascii="方正书宋_GBK" w:hAnsi="方正书宋_GBK" w:eastAsia="方正书宋_GBK" w:cs="方正书宋_GBK"/>
                <w:b/>
                <w:sz w:val="21"/>
                <w:szCs w:val="24"/>
                <w:lang w:val="en-US" w:eastAsia="uk-UA" w:bidi="ar-SA"/>
              </w:rPr>
            </w:pPr>
            <w:r>
              <w:t>项   目</w:t>
            </w:r>
          </w:p>
        </w:tc>
        <w:tc>
          <w:tcPr>
            <w:tcW w:w="2835" w:type="dxa"/>
            <w:shd w:val="clear" w:color="auto" w:fill="auto"/>
            <w:vAlign w:val="center"/>
          </w:tcPr>
          <w:p>
            <w:pPr>
              <w:pStyle w:val="10"/>
              <w:ind w:firstLine="0" w:firstLineChars="0"/>
              <w:rPr>
                <w:rFonts w:ascii="方正书宋_GBK" w:hAnsi="方正书宋_GBK" w:eastAsia="方正书宋_GBK" w:cs="方正书宋_GBK"/>
                <w:b/>
                <w:sz w:val="21"/>
                <w:szCs w:val="24"/>
                <w:lang w:val="en-US" w:eastAsia="uk-UA" w:bidi="ar-SA"/>
              </w:rPr>
            </w:pPr>
            <w:r>
              <w:t>数量</w:t>
            </w:r>
          </w:p>
        </w:tc>
        <w:tc>
          <w:tcPr>
            <w:tcW w:w="2835" w:type="dxa"/>
            <w:shd w:val="clear" w:color="auto" w:fill="auto"/>
            <w:vAlign w:val="center"/>
          </w:tcPr>
          <w:p>
            <w:pPr>
              <w:pStyle w:val="10"/>
              <w:ind w:firstLine="0" w:firstLineChars="0"/>
              <w:rPr>
                <w:rFonts w:ascii="方正书宋_GBK" w:hAnsi="方正书宋_GBK" w:eastAsia="方正书宋_GBK" w:cs="方正书宋_GBK"/>
                <w:b/>
                <w:sz w:val="21"/>
                <w:szCs w:val="24"/>
                <w:lang w:val="en-US" w:eastAsia="uk-UA" w:bidi="ar-SA"/>
              </w:rPr>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2"/>
              <w:ind w:firstLine="0" w:firstLineChars="0"/>
              <w:rPr>
                <w:rFonts w:ascii="方正书宋_GBK" w:hAnsi="方正书宋_GBK" w:eastAsia="方正书宋_GBK" w:cs="方正书宋_GBK"/>
                <w:sz w:val="21"/>
                <w:szCs w:val="24"/>
                <w:lang w:val="en-US" w:eastAsia="uk-UA" w:bidi="ar-SA"/>
              </w:rPr>
            </w:pPr>
            <w:r>
              <w:t>资产总额</w:t>
            </w:r>
          </w:p>
        </w:tc>
        <w:tc>
          <w:tcPr>
            <w:tcW w:w="2835" w:type="dxa"/>
            <w:shd w:val="clear" w:color="auto" w:fill="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pPr>
              <w:pStyle w:val="11"/>
              <w:ind w:firstLine="0" w:firstLineChars="0"/>
              <w:rPr>
                <w:rFonts w:ascii="方正书宋_GBK" w:hAnsi="方正书宋_GBK" w:eastAsia="方正书宋_GBK" w:cs="方正书宋_GBK"/>
                <w:sz w:val="21"/>
                <w:szCs w:val="24"/>
                <w:lang w:val="en-US" w:eastAsia="uk-UA" w:bidi="ar-SA"/>
              </w:rPr>
            </w:pPr>
            <w:r>
              <w:t>24.14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2"/>
              <w:ind w:firstLine="0" w:firstLineChars="0"/>
              <w:rPr>
                <w:rFonts w:ascii="方正书宋_GBK" w:hAnsi="方正书宋_GBK" w:eastAsia="方正书宋_GBK" w:cs="方正书宋_GBK"/>
                <w:sz w:val="21"/>
                <w:szCs w:val="24"/>
                <w:lang w:val="en-US" w:eastAsia="uk-UA" w:bidi="ar-SA"/>
              </w:rPr>
            </w:pPr>
            <w:r>
              <w:t>1、房屋（平方米）</w:t>
            </w:r>
          </w:p>
        </w:tc>
        <w:tc>
          <w:tcPr>
            <w:tcW w:w="2835" w:type="dxa"/>
            <w:shd w:val="clear" w:color="auto" w:fill="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2"/>
              <w:ind w:firstLine="0" w:firstLineChars="0"/>
              <w:rPr>
                <w:rFonts w:ascii="方正书宋_GBK" w:hAnsi="方正书宋_GBK" w:eastAsia="方正书宋_GBK" w:cs="方正书宋_GBK"/>
                <w:sz w:val="21"/>
                <w:szCs w:val="24"/>
                <w:lang w:val="en-US" w:eastAsia="uk-UA" w:bidi="ar-SA"/>
              </w:rPr>
            </w:pPr>
            <w:r>
              <w:t>　　其中：办公用房（平方米）</w:t>
            </w:r>
          </w:p>
        </w:tc>
        <w:tc>
          <w:tcPr>
            <w:tcW w:w="2835" w:type="dxa"/>
            <w:shd w:val="clear" w:color="auto" w:fill="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2"/>
              <w:ind w:firstLine="0" w:firstLineChars="0"/>
              <w:rPr>
                <w:rFonts w:ascii="方正书宋_GBK" w:hAnsi="方正书宋_GBK" w:eastAsia="方正书宋_GBK" w:cs="方正书宋_GBK"/>
                <w:sz w:val="21"/>
                <w:szCs w:val="24"/>
                <w:lang w:val="en-US" w:eastAsia="uk-UA" w:bidi="ar-SA"/>
              </w:rPr>
            </w:pPr>
            <w:r>
              <w:t>2、车辆（台、辆）</w:t>
            </w:r>
          </w:p>
        </w:tc>
        <w:tc>
          <w:tcPr>
            <w:tcW w:w="2835" w:type="dxa"/>
            <w:shd w:val="clear" w:color="auto" w:fill="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2"/>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2835" w:type="dxa"/>
            <w:shd w:val="clear" w:color="auto" w:fill="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2"/>
              <w:ind w:firstLine="0" w:firstLineChars="0"/>
              <w:rPr>
                <w:rFonts w:ascii="方正书宋_GBK" w:hAnsi="方正书宋_GBK" w:eastAsia="方正书宋_GBK" w:cs="方正书宋_GBK"/>
                <w:sz w:val="21"/>
                <w:szCs w:val="24"/>
                <w:lang w:val="en-US" w:eastAsia="uk-UA" w:bidi="ar-SA"/>
              </w:rPr>
            </w:pPr>
            <w:r>
              <w:t>4、其他固定资产</w:t>
            </w:r>
          </w:p>
        </w:tc>
        <w:tc>
          <w:tcPr>
            <w:tcW w:w="2835" w:type="dxa"/>
            <w:shd w:val="clear" w:color="auto" w:fill="auto"/>
            <w:vAlign w:val="center"/>
          </w:tcPr>
          <w:p>
            <w:pPr>
              <w:pStyle w:val="13"/>
              <w:ind w:firstLine="0" w:firstLineChars="0"/>
              <w:rPr>
                <w:rFonts w:ascii="方正书宋_GBK" w:hAnsi="方正书宋_GBK" w:eastAsia="方正书宋_GBK" w:cs="方正书宋_GBK"/>
                <w:sz w:val="21"/>
                <w:szCs w:val="24"/>
                <w:lang w:val="en-US" w:eastAsia="uk-UA" w:bidi="ar-SA"/>
              </w:rPr>
            </w:pPr>
            <w:r>
              <w:t>37</w:t>
            </w:r>
          </w:p>
        </w:tc>
        <w:tc>
          <w:tcPr>
            <w:tcW w:w="2835" w:type="dxa"/>
            <w:shd w:val="clear" w:color="auto" w:fill="auto"/>
            <w:vAlign w:val="center"/>
          </w:tcPr>
          <w:p>
            <w:pPr>
              <w:pStyle w:val="11"/>
              <w:ind w:firstLine="0" w:firstLineChars="0"/>
              <w:rPr>
                <w:rFonts w:ascii="方正书宋_GBK" w:hAnsi="方正书宋_GBK" w:eastAsia="方正书宋_GBK" w:cs="方正书宋_GBK"/>
                <w:sz w:val="21"/>
                <w:szCs w:val="24"/>
                <w:lang w:val="en-US" w:eastAsia="uk-UA" w:bidi="ar-SA"/>
              </w:rPr>
            </w:pPr>
            <w:r>
              <w:t>24.14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w:t>
      </w:r>
      <w:r>
        <w:rPr>
          <w:rFonts w:hint="eastAsia" w:eastAsia="方正仿宋_GBK" w:cs="Times New Roman"/>
          <w:b w:val="0"/>
          <w:color w:val="000000"/>
          <w:sz w:val="28"/>
          <w:lang w:eastAsia="zh-CN"/>
        </w:rPr>
        <w:t>受益</w:t>
      </w:r>
      <w:r>
        <w:rPr>
          <w:rFonts w:ascii="Times New Roman" w:hAnsi="Times New Roman" w:eastAsia="方正仿宋_GBK" w:cs="Times New Roman"/>
          <w:b w:val="0"/>
          <w:color w:val="000000"/>
          <w:sz w:val="28"/>
        </w:rPr>
        <w:t>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C156EBA"/>
    <w:rsid w:val="6FA8280A"/>
    <w:rsid w:val="6FFB6495"/>
    <w:rsid w:val="762429D2"/>
    <w:rsid w:val="76B61B6E"/>
    <w:rsid w:val="77891BA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5100</Words>
  <Characters>6717</Characters>
  <TotalTime>0</TotalTime>
  <ScaleCrop>false</ScaleCrop>
  <LinksUpToDate>false</LinksUpToDate>
  <CharactersWithSpaces>6835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2025-02-07T09:58:00Z</dcterms:created>
  <dc:creator>Administrator</dc:creator>
  <cp:lastModifiedBy>6665</cp:lastModifiedBy>
  <dcterms:modified xsi:type="dcterms:W3CDTF">2025-02-19T01:59:58Z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eyJoZGlkIjoiNzVlNDY2OWI2Mjc3NjY3ZjBmZDhkNjk2MmM0OTc0YjciLCJ1c2VySWQiOiI3Nzg0MDczNDUifQ==</vt:lpwstr>
  </property>
  <property fmtid="{D5CDD505-2E9C-101B-9397-08002B2CF9AE}" pid="3" name="KSOProductBuildVer">
    <vt:lpwstr>2052-11.1.0.9021</vt:lpwstr>
  </property>
  <property fmtid="{D5CDD505-2E9C-101B-9397-08002B2CF9AE}" pid="4" name="ICV">
    <vt:lpwstr>38CCD6DCA29C4207A0B4209BF688A5BD_12</vt:lpwstr>
  </property>
</Properties>
</file>