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bookmarkStart w:id="4" w:name="_GoBack"/>
      <w:bookmarkEnd w:id="4"/>
      <w:r>
        <w:rPr>
          <w:rFonts w:hint="eastAsia" w:ascii="Times New Roman" w:hAnsi="Times New Roman" w:eastAsia="方正小标宋_GBK" w:cs="Times New Roman"/>
          <w:color w:val="auto"/>
          <w:sz w:val="36"/>
          <w:szCs w:val="36"/>
        </w:rPr>
        <w:t>曲阳县公安局交通管理大队</w:t>
      </w:r>
      <w:r>
        <w:rPr>
          <w:rFonts w:ascii="Times New Roman" w:hAnsi="Times New Roman" w:eastAsia="方正小标宋_GBK" w:cs="Times New Roman"/>
          <w:color w:val="auto"/>
          <w:sz w:val="36"/>
          <w:szCs w:val="36"/>
        </w:rPr>
        <w:t>201</w:t>
      </w:r>
      <w:r>
        <w:rPr>
          <w:rFonts w:hint="eastAsia" w:ascii="Times New Roman" w:hAnsi="Times New Roman" w:eastAsia="方正小标宋_GBK" w:cs="Times New Roman"/>
          <w:color w:val="auto"/>
          <w:sz w:val="36"/>
          <w:szCs w:val="36"/>
        </w:rPr>
        <w:t>9</w:t>
      </w:r>
      <w:r>
        <w:rPr>
          <w:rFonts w:ascii="Times New Roman" w:hAnsi="Times New Roman" w:eastAsia="方正小标宋_GBK" w:cs="Times New Roman"/>
          <w:color w:val="auto"/>
          <w:sz w:val="36"/>
          <w:szCs w:val="36"/>
        </w:rPr>
        <w:t>年部门预算信息公开</w:t>
      </w:r>
    </w:p>
    <w:p>
      <w:pPr>
        <w:ind w:firstLine="640"/>
        <w:rPr>
          <w:rFonts w:ascii="仿宋" w:hAnsi="仿宋" w:eastAsia="仿宋" w:cs="仿宋"/>
          <w:color w:val="auto"/>
          <w:sz w:val="32"/>
        </w:rPr>
      </w:pPr>
      <w:bookmarkStart w:id="0" w:name="_Toc471398463"/>
      <w:r>
        <w:rPr>
          <w:rFonts w:ascii="仿宋" w:hAnsi="仿宋" w:eastAsia="仿宋" w:cs="仿宋"/>
          <w:color w:val="auto"/>
          <w:sz w:val="32"/>
        </w:rPr>
        <w:t>按照《</w:t>
      </w:r>
      <w:r>
        <w:rPr>
          <w:rFonts w:hint="eastAsia" w:ascii="仿宋" w:hAnsi="仿宋" w:eastAsia="仿宋" w:cs="仿宋"/>
          <w:color w:val="auto"/>
          <w:sz w:val="32"/>
          <w:lang w:eastAsia="zh-CN"/>
        </w:rPr>
        <w:t>中华人民共和国</w:t>
      </w:r>
      <w:r>
        <w:rPr>
          <w:rFonts w:ascii="仿宋" w:hAnsi="仿宋" w:eastAsia="仿宋" w:cs="仿宋"/>
          <w:color w:val="auto"/>
          <w:sz w:val="32"/>
        </w:rPr>
        <w:t>预算法》、《地方预决算公开操作规程》和</w:t>
      </w:r>
      <w:r>
        <w:rPr>
          <w:rFonts w:ascii="仿宋" w:hAnsi="仿宋" w:eastAsia="仿宋" w:cs="Times New Roman"/>
          <w:color w:val="auto"/>
          <w:sz w:val="32"/>
          <w:szCs w:val="32"/>
        </w:rPr>
        <w:t>《河北省</w:t>
      </w:r>
      <w:r>
        <w:rPr>
          <w:rFonts w:hint="eastAsia" w:ascii="仿宋" w:hAnsi="仿宋" w:eastAsia="仿宋" w:cs="Times New Roman"/>
          <w:color w:val="auto"/>
          <w:sz w:val="32"/>
          <w:szCs w:val="32"/>
          <w:lang w:eastAsia="zh-CN"/>
        </w:rPr>
        <w:t>财政厅修订补充</w:t>
      </w:r>
      <w:r>
        <w:rPr>
          <w:rFonts w:hint="eastAsia" w:ascii="仿宋" w:hAnsi="仿宋" w:eastAsia="仿宋" w:cs="Times New Roman"/>
          <w:color w:val="auto"/>
          <w:sz w:val="32"/>
          <w:szCs w:val="32"/>
          <w:lang w:val="en-US" w:eastAsia="zh-CN"/>
        </w:rPr>
        <w:t>&lt;河北省预决算公开操作规程实施细则&gt;</w:t>
      </w:r>
      <w:r>
        <w:rPr>
          <w:rFonts w:ascii="仿宋" w:hAnsi="仿宋" w:eastAsia="仿宋" w:cs="Times New Roman"/>
          <w:color w:val="auto"/>
          <w:sz w:val="32"/>
          <w:szCs w:val="32"/>
        </w:rPr>
        <w:t>》</w:t>
      </w:r>
      <w:r>
        <w:rPr>
          <w:rFonts w:hint="eastAsia" w:ascii="仿宋" w:hAnsi="仿宋" w:eastAsia="仿宋" w:cs="Times New Roman"/>
          <w:color w:val="auto"/>
          <w:sz w:val="32"/>
          <w:szCs w:val="32"/>
          <w:lang w:eastAsia="zh-CN"/>
        </w:rPr>
        <w:t>（冀财预</w:t>
      </w:r>
      <w:r>
        <w:rPr>
          <w:rFonts w:hint="eastAsia" w:ascii="仿宋" w:hAnsi="仿宋" w:eastAsia="仿宋" w:cs="Times New Roman"/>
          <w:color w:val="auto"/>
          <w:sz w:val="32"/>
          <w:szCs w:val="32"/>
          <w:lang w:val="en-US" w:eastAsia="zh-CN"/>
        </w:rPr>
        <w:t>[2017]82号）</w:t>
      </w:r>
      <w:r>
        <w:rPr>
          <w:rFonts w:hint="eastAsia" w:ascii="仿宋" w:hAnsi="仿宋" w:eastAsia="仿宋" w:cs="Times New Roman"/>
          <w:color w:val="auto"/>
          <w:sz w:val="32"/>
          <w:szCs w:val="32"/>
        </w:rPr>
        <w:t>规定</w:t>
      </w:r>
      <w:r>
        <w:rPr>
          <w:rFonts w:ascii="仿宋" w:hAnsi="仿宋" w:eastAsia="仿宋" w:cs="仿宋"/>
          <w:color w:val="auto"/>
          <w:sz w:val="32"/>
        </w:rPr>
        <w:t>，现将曲阳县公安局交通管理大队2019年部门预算公开如下：</w:t>
      </w:r>
    </w:p>
    <w:p>
      <w:pPr>
        <w:ind w:firstLine="640"/>
        <w:rPr>
          <w:rFonts w:ascii="黑体" w:hAnsi="黑体" w:eastAsia="黑体"/>
          <w:color w:val="auto"/>
          <w:sz w:val="32"/>
        </w:rPr>
      </w:pPr>
      <w:r>
        <w:rPr>
          <w:rFonts w:ascii="黑体" w:hAnsi="黑体" w:eastAsia="黑体"/>
          <w:color w:val="auto"/>
          <w:sz w:val="32"/>
        </w:rPr>
        <w:t>一、部门职责及机构设置情况</w:t>
      </w:r>
    </w:p>
    <w:p>
      <w:pPr>
        <w:spacing w:line="500" w:lineRule="auto"/>
        <w:ind w:firstLine="560"/>
        <w:rPr>
          <w:rFonts w:cs="方正仿宋_GBK" w:asciiTheme="majorEastAsia" w:hAnsiTheme="majorEastAsia" w:eastAsiaTheme="majorEastAsia"/>
          <w:color w:val="auto"/>
          <w:sz w:val="28"/>
        </w:rPr>
      </w:pPr>
      <w:r>
        <w:rPr>
          <w:rFonts w:ascii="仿宋" w:hAnsi="仿宋" w:eastAsia="仿宋" w:cs="仿宋"/>
          <w:b/>
          <w:color w:val="auto"/>
          <w:sz w:val="32"/>
        </w:rPr>
        <w:t>部门职责：</w:t>
      </w:r>
      <w:r>
        <w:rPr>
          <w:rFonts w:cs="仿宋" w:asciiTheme="majorEastAsia" w:hAnsiTheme="majorEastAsia" w:eastAsiaTheme="majorEastAsia"/>
          <w:color w:val="auto"/>
          <w:sz w:val="28"/>
        </w:rPr>
        <w:t>自实行《中华人民共和国道路交通安全法》以来，曲阳县交警大队现有技术装备和基础设施及管理手段已不适应新交法实施要求，为切实保证人民生命财产安全，维护良好的经济发展环境，明年我单位要整合资金集中财力重点安排系统交通设施和技术装备、执法设备落后的状况，为人民群众出行提供安全保障</w:t>
      </w:r>
      <w:r>
        <w:rPr>
          <w:rFonts w:cs="方正仿宋_GBK" w:asciiTheme="majorEastAsia" w:hAnsiTheme="majorEastAsia" w:eastAsiaTheme="majorEastAsia"/>
          <w:color w:val="auto"/>
          <w:sz w:val="28"/>
        </w:rPr>
        <w:t>,</w:t>
      </w:r>
      <w:r>
        <w:rPr>
          <w:rFonts w:cs="仿宋" w:asciiTheme="majorEastAsia" w:hAnsiTheme="majorEastAsia" w:eastAsiaTheme="majorEastAsia"/>
          <w:color w:val="auto"/>
          <w:sz w:val="28"/>
        </w:rPr>
        <w:t>打击违法犯罪活动</w:t>
      </w:r>
      <w:r>
        <w:rPr>
          <w:rFonts w:cs="方正仿宋_GBK" w:asciiTheme="majorEastAsia" w:hAnsiTheme="majorEastAsia" w:eastAsiaTheme="majorEastAsia"/>
          <w:color w:val="auto"/>
          <w:sz w:val="28"/>
        </w:rPr>
        <w:t>,</w:t>
      </w:r>
      <w:r>
        <w:rPr>
          <w:rFonts w:cs="仿宋" w:asciiTheme="majorEastAsia" w:hAnsiTheme="majorEastAsia" w:eastAsiaTheme="majorEastAsia"/>
          <w:color w:val="auto"/>
          <w:sz w:val="28"/>
        </w:rPr>
        <w:t>维护社会稳定</w:t>
      </w:r>
      <w:r>
        <w:rPr>
          <w:rFonts w:cs="宋体" w:asciiTheme="majorEastAsia" w:hAnsiTheme="majorEastAsia" w:eastAsiaTheme="majorEastAsia"/>
          <w:color w:val="auto"/>
          <w:sz w:val="28"/>
        </w:rPr>
        <w:t>。</w:t>
      </w:r>
    </w:p>
    <w:p>
      <w:pPr>
        <w:spacing w:line="500" w:lineRule="auto"/>
        <w:ind w:firstLine="560"/>
        <w:rPr>
          <w:rFonts w:ascii="Times New Roman" w:hAnsi="Times New Roman" w:eastAsia="Times New Roman" w:cs="Times New Roman"/>
          <w:color w:val="auto"/>
          <w:sz w:val="28"/>
        </w:rPr>
      </w:pPr>
      <w:r>
        <w:rPr>
          <w:rFonts w:ascii="宋体" w:hAnsi="宋体" w:cs="宋体"/>
          <w:color w:val="auto"/>
          <w:sz w:val="28"/>
        </w:rPr>
        <w:t>一、</w:t>
      </w:r>
      <w:r>
        <w:rPr>
          <w:rFonts w:hint="eastAsia" w:ascii="宋体" w:hAnsi="宋体" w:cs="宋体"/>
          <w:color w:val="auto"/>
          <w:sz w:val="28"/>
          <w:lang w:eastAsia="zh-CN"/>
        </w:rPr>
        <w:t>道路交通</w:t>
      </w:r>
      <w:r>
        <w:rPr>
          <w:rFonts w:ascii="宋体" w:hAnsi="宋体" w:cs="宋体"/>
          <w:color w:val="auto"/>
          <w:sz w:val="28"/>
        </w:rPr>
        <w:t>管理</w:t>
      </w:r>
    </w:p>
    <w:p>
      <w:pPr>
        <w:spacing w:line="500" w:lineRule="auto"/>
        <w:ind w:firstLine="560"/>
        <w:rPr>
          <w:rFonts w:ascii="Times New Roman" w:hAnsi="Times New Roman" w:eastAsia="Times New Roman" w:cs="Times New Roman"/>
          <w:color w:val="auto"/>
          <w:sz w:val="28"/>
        </w:rPr>
      </w:pPr>
      <w:r>
        <w:rPr>
          <w:rFonts w:ascii="方正仿宋_GBK" w:hAnsi="方正仿宋_GBK" w:eastAsia="方正仿宋_GBK" w:cs="方正仿宋_GBK"/>
          <w:color w:val="auto"/>
          <w:sz w:val="28"/>
        </w:rPr>
        <w:t>1</w:t>
      </w:r>
      <w:r>
        <w:rPr>
          <w:rFonts w:ascii="宋体" w:hAnsi="宋体" w:cs="宋体"/>
          <w:color w:val="auto"/>
          <w:sz w:val="28"/>
        </w:rPr>
        <w:t>、</w:t>
      </w:r>
      <w:r>
        <w:rPr>
          <w:rFonts w:ascii="方正仿宋_GBK" w:hAnsi="方正仿宋_GBK" w:eastAsia="方正仿宋_GBK" w:cs="方正仿宋_GBK"/>
          <w:color w:val="auto"/>
          <w:sz w:val="28"/>
        </w:rPr>
        <w:t>2019</w:t>
      </w:r>
      <w:r>
        <w:rPr>
          <w:rFonts w:ascii="宋体" w:hAnsi="宋体" w:cs="宋体"/>
          <w:color w:val="auto"/>
          <w:sz w:val="28"/>
        </w:rPr>
        <w:t>年曲阳县公安局交通管理大队加强科技信息化建设和应用，提高交通管理科技信息应用能力和水平，服务广大交通参与者，提高公安交警科技装备水平。能够第一时间掌握路面情况，第一时间发布指令，提升应急反应能为进一步促进公安机关职能作用的发挥，保证公安机关严格公正文明执法，维护人民群众切身利益，为公安机关的工作提供强有力的经济保障，全面维护全县人民的安全，有效维护全县社会稳定，打击犯罪，使交通事故处理办结率（</w:t>
      </w:r>
      <w:r>
        <w:rPr>
          <w:rFonts w:ascii="方正仿宋_GBK" w:hAnsi="方正仿宋_GBK" w:eastAsia="方正仿宋_GBK" w:cs="方正仿宋_GBK"/>
          <w:color w:val="auto"/>
          <w:sz w:val="28"/>
        </w:rPr>
        <w:t>%</w:t>
      </w:r>
      <w:r>
        <w:rPr>
          <w:rFonts w:ascii="宋体" w:hAnsi="宋体" w:cs="宋体"/>
          <w:color w:val="auto"/>
          <w:sz w:val="28"/>
        </w:rPr>
        <w:t>）达到</w:t>
      </w:r>
      <w:r>
        <w:rPr>
          <w:rFonts w:ascii="方正仿宋_GBK" w:hAnsi="方正仿宋_GBK" w:eastAsia="方正仿宋_GBK" w:cs="方正仿宋_GBK"/>
          <w:color w:val="auto"/>
          <w:sz w:val="28"/>
        </w:rPr>
        <w:t>85%</w:t>
      </w:r>
      <w:r>
        <w:rPr>
          <w:rFonts w:ascii="宋体" w:hAnsi="宋体" w:cs="宋体"/>
          <w:color w:val="auto"/>
          <w:sz w:val="28"/>
        </w:rPr>
        <w:t>以上，交通事故下降率</w:t>
      </w:r>
      <w:r>
        <w:rPr>
          <w:rFonts w:ascii="方正仿宋_GBK" w:hAnsi="方正仿宋_GBK" w:eastAsia="方正仿宋_GBK" w:cs="方正仿宋_GBK"/>
          <w:color w:val="auto"/>
          <w:sz w:val="28"/>
        </w:rPr>
        <w:t>20%</w:t>
      </w:r>
      <w:r>
        <w:rPr>
          <w:rFonts w:ascii="宋体" w:hAnsi="宋体" w:cs="宋体"/>
          <w:color w:val="auto"/>
          <w:sz w:val="28"/>
        </w:rPr>
        <w:t>。</w:t>
      </w:r>
    </w:p>
    <w:p>
      <w:pPr>
        <w:spacing w:line="500" w:lineRule="auto"/>
        <w:ind w:firstLine="560"/>
        <w:rPr>
          <w:rFonts w:ascii="Times New Roman" w:hAnsi="Times New Roman" w:cs="Times New Roman"/>
          <w:color w:val="auto"/>
          <w:sz w:val="28"/>
        </w:rPr>
      </w:pPr>
      <w:r>
        <w:rPr>
          <w:rFonts w:ascii="方正仿宋_GBK" w:hAnsi="方正仿宋_GBK" w:eastAsia="方正仿宋_GBK" w:cs="方正仿宋_GBK"/>
          <w:color w:val="auto"/>
          <w:sz w:val="28"/>
        </w:rPr>
        <w:t>2</w:t>
      </w:r>
      <w:r>
        <w:rPr>
          <w:rFonts w:ascii="宋体" w:hAnsi="宋体" w:cs="宋体"/>
          <w:color w:val="auto"/>
          <w:sz w:val="28"/>
        </w:rPr>
        <w:t>、提高公安交警科技装备水平，确保重大突发事件得到及时处置，主要包括交通信号灯和电子警察指挥系统更新等项目，升级改造城建局路、二医院路口、仁济医院路口、汽车站路口商业大楼路口、高速路口、永宁小区路口，凯嘉路口等路口，共</w:t>
      </w:r>
      <w:r>
        <w:rPr>
          <w:rFonts w:ascii="方正仿宋_GBK" w:hAnsi="方正仿宋_GBK" w:eastAsia="方正仿宋_GBK" w:cs="方正仿宋_GBK"/>
          <w:color w:val="auto"/>
          <w:sz w:val="28"/>
        </w:rPr>
        <w:t>8</w:t>
      </w:r>
      <w:r>
        <w:rPr>
          <w:rFonts w:ascii="宋体" w:hAnsi="宋体" w:cs="宋体"/>
          <w:color w:val="auto"/>
          <w:sz w:val="28"/>
        </w:rPr>
        <w:t>套监控设备，完成电子卡口建设</w:t>
      </w:r>
      <w:r>
        <w:rPr>
          <w:rFonts w:ascii="方正仿宋_GBK" w:hAnsi="方正仿宋_GBK" w:eastAsia="方正仿宋_GBK" w:cs="方正仿宋_GBK"/>
          <w:color w:val="auto"/>
          <w:sz w:val="28"/>
        </w:rPr>
        <w:t>,</w:t>
      </w:r>
      <w:r>
        <w:rPr>
          <w:rFonts w:ascii="宋体" w:hAnsi="宋体" w:cs="宋体"/>
          <w:color w:val="auto"/>
          <w:sz w:val="28"/>
        </w:rPr>
        <w:t>加大卡口监管力度，对交通肇事等违法犯罪行为进行有效遏制</w:t>
      </w:r>
      <w:r>
        <w:rPr>
          <w:rFonts w:ascii="方正仿宋_GBK" w:hAnsi="方正仿宋_GBK" w:eastAsia="方正仿宋_GBK" w:cs="方正仿宋_GBK"/>
          <w:color w:val="auto"/>
          <w:sz w:val="28"/>
        </w:rPr>
        <w:t>,</w:t>
      </w:r>
      <w:r>
        <w:rPr>
          <w:rFonts w:ascii="宋体" w:hAnsi="宋体" w:cs="宋体"/>
          <w:color w:val="auto"/>
          <w:sz w:val="28"/>
        </w:rPr>
        <w:t>降低违法行为维护良好社会秩序</w:t>
      </w:r>
      <w:r>
        <w:rPr>
          <w:rFonts w:ascii="方正仿宋_GBK" w:hAnsi="方正仿宋_GBK" w:eastAsia="方正仿宋_GBK" w:cs="方正仿宋_GBK"/>
          <w:color w:val="auto"/>
          <w:sz w:val="28"/>
        </w:rPr>
        <w:t>,</w:t>
      </w:r>
      <w:r>
        <w:rPr>
          <w:rFonts w:ascii="宋体" w:hAnsi="宋体" w:cs="宋体"/>
          <w:color w:val="auto"/>
          <w:sz w:val="28"/>
        </w:rPr>
        <w:t>业务保障能力提升</w:t>
      </w:r>
      <w:r>
        <w:rPr>
          <w:rFonts w:ascii="方正仿宋_GBK" w:hAnsi="方正仿宋_GBK" w:eastAsia="方正仿宋_GBK" w:cs="方正仿宋_GBK"/>
          <w:color w:val="auto"/>
          <w:sz w:val="28"/>
        </w:rPr>
        <w:t>20%</w:t>
      </w:r>
      <w:r>
        <w:rPr>
          <w:rFonts w:ascii="宋体" w:hAnsi="宋体" w:cs="宋体"/>
          <w:color w:val="auto"/>
          <w:sz w:val="28"/>
        </w:rPr>
        <w:t>。</w:t>
      </w:r>
    </w:p>
    <w:p>
      <w:pPr>
        <w:spacing w:line="500" w:lineRule="auto"/>
        <w:ind w:firstLine="560"/>
        <w:rPr>
          <w:rFonts w:ascii="Times New Roman" w:hAnsi="Times New Roman" w:eastAsia="Times New Roman" w:cs="Times New Roman"/>
          <w:color w:val="auto"/>
          <w:sz w:val="28"/>
        </w:rPr>
      </w:pPr>
      <w:r>
        <w:rPr>
          <w:rFonts w:ascii="宋体" w:hAnsi="宋体" w:cs="宋体"/>
          <w:color w:val="auto"/>
          <w:sz w:val="28"/>
        </w:rPr>
        <w:t>二、车辆和驾驶人管理：规范机动车登记行为，保护公民、法人和其他组织的合法权益，促进经济、社会发展，保障道路交通安全；促进提高机动车驾驶人安全文明驾驶素质，全力预防和减少重特大道路交通事故。</w:t>
      </w:r>
    </w:p>
    <w:p>
      <w:pPr>
        <w:spacing w:line="500" w:lineRule="auto"/>
        <w:ind w:firstLine="560"/>
        <w:rPr>
          <w:rFonts w:ascii="Times New Roman" w:hAnsi="Times New Roman" w:eastAsia="Times New Roman" w:cs="Times New Roman"/>
          <w:color w:val="auto"/>
          <w:sz w:val="28"/>
        </w:rPr>
      </w:pPr>
      <w:r>
        <w:rPr>
          <w:rFonts w:ascii="宋体" w:hAnsi="宋体" w:cs="宋体"/>
          <w:color w:val="auto"/>
          <w:sz w:val="28"/>
        </w:rPr>
        <w:t>三、交管政务管理：开展交通法制建设与安全宣传、交警系统行政性收费和经费保障工作、队伍建设工作指导和调研工作，组织、规划交通管理信息化建设与应用、通讯网建设和交通管理信息系统建设推广，开展新技术推广应用工作。</w:t>
      </w:r>
    </w:p>
    <w:p>
      <w:pPr>
        <w:ind w:firstLine="643"/>
        <w:rPr>
          <w:rFonts w:ascii="仿宋" w:hAnsi="仿宋" w:eastAsia="仿宋" w:cs="仿宋"/>
          <w:b/>
          <w:color w:val="auto"/>
          <w:sz w:val="32"/>
        </w:rPr>
      </w:pPr>
      <w:r>
        <w:rPr>
          <w:rFonts w:ascii="仿宋" w:hAnsi="仿宋" w:eastAsia="仿宋" w:cs="仿宋"/>
          <w:b/>
          <w:color w:val="auto"/>
          <w:sz w:val="32"/>
        </w:rPr>
        <w:t>机构设置：</w:t>
      </w:r>
    </w:p>
    <w:p>
      <w:pPr>
        <w:jc w:val="center"/>
        <w:rPr>
          <w:rFonts w:ascii="Times New Roman" w:hAnsi="Times New Roman" w:eastAsia="Times New Roman" w:cs="Times New Roman"/>
          <w:color w:val="auto"/>
          <w:sz w:val="32"/>
        </w:rPr>
      </w:pPr>
      <w:r>
        <w:rPr>
          <w:rFonts w:ascii="宋体" w:hAnsi="宋体" w:cs="宋体"/>
          <w:color w:val="auto"/>
          <w:sz w:val="32"/>
        </w:rPr>
        <w:t>部门机构设置情况</w:t>
      </w:r>
    </w:p>
    <w:tbl>
      <w:tblPr>
        <w:tblStyle w:val="6"/>
        <w:tblW w:w="8522" w:type="dxa"/>
        <w:jc w:val="center"/>
        <w:tblInd w:w="0" w:type="dxa"/>
        <w:tblLayout w:type="fixed"/>
        <w:tblCellMar>
          <w:top w:w="0" w:type="dxa"/>
          <w:left w:w="10" w:type="dxa"/>
          <w:bottom w:w="0" w:type="dxa"/>
          <w:right w:w="10" w:type="dxa"/>
        </w:tblCellMar>
      </w:tblPr>
      <w:tblGrid>
        <w:gridCol w:w="3816"/>
        <w:gridCol w:w="1028"/>
        <w:gridCol w:w="1148"/>
        <w:gridCol w:w="2530"/>
      </w:tblGrid>
      <w:tr>
        <w:tblPrEx>
          <w:tblLayout w:type="fixed"/>
          <w:tblCellMar>
            <w:top w:w="0" w:type="dxa"/>
            <w:left w:w="10" w:type="dxa"/>
            <w:bottom w:w="0" w:type="dxa"/>
            <w:right w:w="10" w:type="dxa"/>
          </w:tblCellMar>
        </w:tblPrEx>
        <w:trPr>
          <w:trHeight w:val="390" w:hRule="atLeast"/>
          <w:jc w:val="center"/>
        </w:trPr>
        <w:tc>
          <w:tcPr>
            <w:tcW w:w="3816"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300" w:lineRule="auto"/>
              <w:jc w:val="center"/>
              <w:rPr>
                <w:rFonts w:ascii="宋体" w:hAnsi="宋体" w:cs="宋体"/>
                <w:color w:val="auto"/>
              </w:rPr>
            </w:pPr>
            <w:r>
              <w:rPr>
                <w:rFonts w:ascii="宋体" w:hAnsi="宋体" w:cs="宋体"/>
                <w:b/>
                <w:color w:val="auto"/>
              </w:rPr>
              <w:t>单位名称</w:t>
            </w:r>
          </w:p>
        </w:tc>
        <w:tc>
          <w:tcPr>
            <w:tcW w:w="1028"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300" w:lineRule="auto"/>
              <w:jc w:val="center"/>
              <w:rPr>
                <w:rFonts w:ascii="宋体" w:hAnsi="宋体" w:cs="宋体"/>
                <w:color w:val="auto"/>
              </w:rPr>
            </w:pPr>
            <w:r>
              <w:rPr>
                <w:rFonts w:ascii="宋体" w:hAnsi="宋体" w:cs="宋体"/>
                <w:b/>
                <w:color w:val="auto"/>
              </w:rPr>
              <w:t>单位性质</w:t>
            </w:r>
          </w:p>
        </w:tc>
        <w:tc>
          <w:tcPr>
            <w:tcW w:w="1148"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300" w:lineRule="auto"/>
              <w:jc w:val="center"/>
              <w:rPr>
                <w:rFonts w:ascii="宋体" w:hAnsi="宋体" w:cs="宋体"/>
                <w:color w:val="auto"/>
              </w:rPr>
            </w:pPr>
            <w:r>
              <w:rPr>
                <w:rFonts w:ascii="宋体" w:hAnsi="宋体" w:cs="宋体"/>
                <w:b/>
                <w:color w:val="auto"/>
              </w:rPr>
              <w:t>单位规格</w:t>
            </w:r>
          </w:p>
        </w:tc>
        <w:tc>
          <w:tcPr>
            <w:tcW w:w="2530"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300" w:lineRule="auto"/>
              <w:jc w:val="center"/>
              <w:rPr>
                <w:rFonts w:ascii="宋体" w:hAnsi="宋体" w:cs="宋体"/>
                <w:color w:val="auto"/>
              </w:rPr>
            </w:pPr>
            <w:r>
              <w:rPr>
                <w:rFonts w:ascii="宋体" w:hAnsi="宋体" w:cs="宋体"/>
                <w:b/>
                <w:color w:val="auto"/>
              </w:rPr>
              <w:t>经费保障形式</w:t>
            </w:r>
          </w:p>
        </w:tc>
      </w:tr>
      <w:tr>
        <w:tblPrEx>
          <w:tblLayout w:type="fixed"/>
          <w:tblCellMar>
            <w:top w:w="0" w:type="dxa"/>
            <w:left w:w="10" w:type="dxa"/>
            <w:bottom w:w="0" w:type="dxa"/>
            <w:right w:w="10" w:type="dxa"/>
          </w:tblCellMar>
        </w:tblPrEx>
        <w:trPr>
          <w:trHeight w:val="559" w:hRule="atLeast"/>
          <w:jc w:val="center"/>
        </w:trPr>
        <w:tc>
          <w:tcPr>
            <w:tcW w:w="3816"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宋体" w:hAnsi="宋体" w:cs="宋体"/>
                <w:color w:val="auto"/>
                <w:sz w:val="22"/>
              </w:rPr>
            </w:pPr>
          </w:p>
        </w:tc>
        <w:tc>
          <w:tcPr>
            <w:tcW w:w="102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宋体" w:hAnsi="宋体" w:cs="宋体"/>
                <w:color w:val="auto"/>
                <w:sz w:val="22"/>
              </w:rPr>
            </w:pPr>
          </w:p>
        </w:tc>
        <w:tc>
          <w:tcPr>
            <w:tcW w:w="114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宋体" w:hAnsi="宋体" w:cs="宋体"/>
                <w:color w:val="auto"/>
                <w:sz w:val="22"/>
              </w:rPr>
            </w:pPr>
          </w:p>
        </w:tc>
        <w:tc>
          <w:tcPr>
            <w:tcW w:w="2530"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after="200" w:line="276" w:lineRule="auto"/>
              <w:jc w:val="left"/>
              <w:rPr>
                <w:rFonts w:ascii="宋体" w:hAnsi="宋体" w:cs="宋体"/>
                <w:color w:val="auto"/>
                <w:sz w:val="22"/>
              </w:rPr>
            </w:pPr>
          </w:p>
        </w:tc>
      </w:tr>
      <w:tr>
        <w:tblPrEx>
          <w:tblLayout w:type="fixed"/>
          <w:tblCellMar>
            <w:top w:w="0" w:type="dxa"/>
            <w:left w:w="10" w:type="dxa"/>
            <w:bottom w:w="0" w:type="dxa"/>
            <w:right w:w="10" w:type="dxa"/>
          </w:tblCellMar>
        </w:tblPrEx>
        <w:trPr>
          <w:trHeight w:val="227" w:hRule="atLeast"/>
          <w:jc w:val="center"/>
        </w:trPr>
        <w:tc>
          <w:tcPr>
            <w:tcW w:w="381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300" w:lineRule="auto"/>
              <w:jc w:val="left"/>
              <w:rPr>
                <w:rFonts w:ascii="宋体" w:hAnsi="宋体" w:cs="宋体"/>
                <w:color w:val="auto"/>
              </w:rPr>
            </w:pPr>
            <w:r>
              <w:rPr>
                <w:rFonts w:ascii="宋体" w:hAnsi="宋体" w:cs="宋体"/>
                <w:color w:val="auto"/>
              </w:rPr>
              <w:t>曲阳县公安局交通管理大队</w:t>
            </w:r>
          </w:p>
        </w:tc>
        <w:tc>
          <w:tcPr>
            <w:tcW w:w="102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300" w:lineRule="auto"/>
              <w:jc w:val="center"/>
              <w:rPr>
                <w:rFonts w:ascii="宋体" w:hAnsi="宋体" w:cs="宋体"/>
                <w:color w:val="auto"/>
              </w:rPr>
            </w:pPr>
            <w:r>
              <w:rPr>
                <w:rFonts w:ascii="宋体" w:hAnsi="宋体" w:cs="宋体"/>
                <w:color w:val="auto"/>
              </w:rPr>
              <w:t>行政</w:t>
            </w:r>
          </w:p>
        </w:tc>
        <w:tc>
          <w:tcPr>
            <w:tcW w:w="114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300" w:lineRule="auto"/>
              <w:jc w:val="center"/>
              <w:rPr>
                <w:rFonts w:ascii="宋体" w:hAnsi="宋体" w:cs="宋体"/>
                <w:color w:val="auto"/>
              </w:rPr>
            </w:pPr>
            <w:r>
              <w:rPr>
                <w:rFonts w:ascii="宋体" w:hAnsi="宋体" w:cs="宋体"/>
                <w:color w:val="auto"/>
              </w:rPr>
              <w:t>副科级</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300" w:lineRule="auto"/>
              <w:jc w:val="center"/>
              <w:rPr>
                <w:rFonts w:ascii="宋体" w:hAnsi="宋体" w:cs="宋体"/>
                <w:color w:val="auto"/>
              </w:rPr>
            </w:pPr>
            <w:r>
              <w:rPr>
                <w:rFonts w:ascii="宋体" w:hAnsi="宋体" w:cs="宋体"/>
                <w:color w:val="auto"/>
              </w:rPr>
              <w:t>财政拨款</w:t>
            </w:r>
          </w:p>
        </w:tc>
      </w:tr>
    </w:tbl>
    <w:p>
      <w:pPr>
        <w:rPr>
          <w:rFonts w:eastAsia="Calibri" w:cs="Calibri"/>
          <w:color w:val="auto"/>
        </w:rPr>
      </w:pPr>
    </w:p>
    <w:p>
      <w:pPr>
        <w:autoSpaceDE w:val="0"/>
        <w:autoSpaceDN w:val="0"/>
        <w:adjustRightInd w:val="0"/>
        <w:ind w:firstLine="640"/>
        <w:rPr>
          <w:rFonts w:ascii="黑体" w:eastAsia="黑体"/>
          <w:color w:val="auto"/>
          <w:kern w:val="0"/>
          <w:sz w:val="32"/>
          <w:szCs w:val="32"/>
          <w:lang w:val="zh-CN"/>
        </w:rPr>
      </w:pPr>
      <w:r>
        <w:rPr>
          <w:rFonts w:hint="eastAsia" w:ascii="黑体" w:eastAsia="黑体"/>
          <w:color w:val="auto"/>
          <w:kern w:val="0"/>
          <w:sz w:val="32"/>
          <w:szCs w:val="32"/>
          <w:lang w:val="zh-CN"/>
        </w:rPr>
        <w:t>二、部门预算安排的总体情况</w:t>
      </w:r>
    </w:p>
    <w:p>
      <w:pPr>
        <w:autoSpaceDE w:val="0"/>
        <w:autoSpaceDN w:val="0"/>
        <w:adjustRightInd w:val="0"/>
        <w:ind w:firstLine="640"/>
        <w:rPr>
          <w:color w:val="auto"/>
          <w:kern w:val="0"/>
          <w:sz w:val="32"/>
          <w:szCs w:val="32"/>
        </w:rPr>
      </w:pPr>
      <w:r>
        <w:rPr>
          <w:rFonts w:hint="eastAsia" w:ascii="宋体" w:cs="宋体"/>
          <w:color w:val="auto"/>
          <w:kern w:val="0"/>
          <w:sz w:val="32"/>
          <w:szCs w:val="32"/>
          <w:lang w:val="zh-CN"/>
        </w:rPr>
        <w:t>按照预算管理有关规定，目前我部门预算的编制实行综合预算制度，即全部收入和支出都反映在预算中。河北省（人大常委会办公厅）及所属事业单位的收支包含在部门预算中。</w:t>
      </w:r>
    </w:p>
    <w:p>
      <w:pPr>
        <w:autoSpaceDE w:val="0"/>
        <w:autoSpaceDN w:val="0"/>
        <w:adjustRightInd w:val="0"/>
        <w:ind w:firstLine="640"/>
        <w:rPr>
          <w:color w:val="auto"/>
          <w:kern w:val="0"/>
          <w:sz w:val="32"/>
          <w:szCs w:val="32"/>
        </w:rPr>
      </w:pPr>
      <w:r>
        <w:rPr>
          <w:color w:val="auto"/>
          <w:kern w:val="0"/>
          <w:sz w:val="32"/>
          <w:szCs w:val="32"/>
        </w:rPr>
        <w:t>1</w:t>
      </w:r>
      <w:r>
        <w:rPr>
          <w:rFonts w:hint="eastAsia" w:ascii="宋体" w:cs="宋体"/>
          <w:color w:val="auto"/>
          <w:kern w:val="0"/>
          <w:sz w:val="32"/>
          <w:szCs w:val="32"/>
          <w:lang w:val="zh-CN"/>
        </w:rPr>
        <w:t>、收入说明</w:t>
      </w:r>
    </w:p>
    <w:p>
      <w:pPr>
        <w:autoSpaceDE w:val="0"/>
        <w:autoSpaceDN w:val="0"/>
        <w:adjustRightInd w:val="0"/>
        <w:ind w:firstLine="640"/>
        <w:rPr>
          <w:color w:val="auto"/>
          <w:kern w:val="0"/>
          <w:sz w:val="32"/>
          <w:szCs w:val="32"/>
        </w:rPr>
      </w:pPr>
      <w:r>
        <w:rPr>
          <w:rFonts w:hint="eastAsia" w:ascii="宋体" w:cs="宋体"/>
          <w:color w:val="auto"/>
          <w:kern w:val="0"/>
          <w:sz w:val="32"/>
          <w:szCs w:val="32"/>
          <w:lang w:val="zh-CN"/>
        </w:rPr>
        <w:t>反应本部门当年全部收入。</w:t>
      </w:r>
      <w:r>
        <w:rPr>
          <w:color w:val="auto"/>
          <w:kern w:val="0"/>
          <w:sz w:val="32"/>
          <w:szCs w:val="32"/>
        </w:rPr>
        <w:t>2019</w:t>
      </w:r>
      <w:r>
        <w:rPr>
          <w:rFonts w:hint="eastAsia" w:ascii="宋体" w:cs="宋体"/>
          <w:color w:val="auto"/>
          <w:kern w:val="0"/>
          <w:sz w:val="32"/>
          <w:szCs w:val="32"/>
          <w:lang w:val="zh-CN"/>
        </w:rPr>
        <w:t>年预算收入</w:t>
      </w:r>
      <w:r>
        <w:rPr>
          <w:color w:val="auto"/>
          <w:kern w:val="0"/>
          <w:sz w:val="32"/>
          <w:szCs w:val="32"/>
        </w:rPr>
        <w:t>1771.15</w:t>
      </w:r>
      <w:r>
        <w:rPr>
          <w:rFonts w:hint="eastAsia" w:ascii="宋体" w:cs="宋体"/>
          <w:color w:val="auto"/>
          <w:kern w:val="0"/>
          <w:sz w:val="32"/>
          <w:szCs w:val="32"/>
          <w:lang w:val="zh-CN"/>
        </w:rPr>
        <w:t>万元，其中：一般公共预算收入</w:t>
      </w:r>
      <w:r>
        <w:rPr>
          <w:color w:val="auto"/>
          <w:kern w:val="0"/>
          <w:sz w:val="32"/>
          <w:szCs w:val="32"/>
        </w:rPr>
        <w:t>1771.15</w:t>
      </w:r>
      <w:r>
        <w:rPr>
          <w:rFonts w:hint="eastAsia" w:ascii="宋体" w:cs="宋体"/>
          <w:color w:val="auto"/>
          <w:kern w:val="0"/>
          <w:sz w:val="32"/>
          <w:szCs w:val="32"/>
          <w:lang w:val="zh-CN"/>
        </w:rPr>
        <w:t>万元，基金预算收入</w:t>
      </w:r>
      <w:r>
        <w:rPr>
          <w:color w:val="auto"/>
          <w:kern w:val="0"/>
          <w:sz w:val="32"/>
          <w:szCs w:val="32"/>
        </w:rPr>
        <w:t>0</w:t>
      </w:r>
      <w:r>
        <w:rPr>
          <w:rFonts w:hint="eastAsia" w:ascii="宋体" w:cs="宋体"/>
          <w:color w:val="auto"/>
          <w:kern w:val="0"/>
          <w:sz w:val="32"/>
          <w:szCs w:val="32"/>
          <w:lang w:val="zh-CN"/>
        </w:rPr>
        <w:t>万元，财政专户核拨收入</w:t>
      </w:r>
      <w:r>
        <w:rPr>
          <w:color w:val="auto"/>
          <w:kern w:val="0"/>
          <w:sz w:val="32"/>
          <w:szCs w:val="32"/>
        </w:rPr>
        <w:t>0</w:t>
      </w:r>
      <w:r>
        <w:rPr>
          <w:rFonts w:hint="eastAsia" w:ascii="宋体" w:cs="宋体"/>
          <w:color w:val="auto"/>
          <w:kern w:val="0"/>
          <w:sz w:val="32"/>
          <w:szCs w:val="32"/>
          <w:lang w:val="zh-CN"/>
        </w:rPr>
        <w:t>万元，其他来源收入</w:t>
      </w:r>
      <w:r>
        <w:rPr>
          <w:color w:val="auto"/>
          <w:kern w:val="0"/>
          <w:sz w:val="32"/>
          <w:szCs w:val="32"/>
        </w:rPr>
        <w:t>0</w:t>
      </w:r>
      <w:r>
        <w:rPr>
          <w:rFonts w:hint="eastAsia" w:ascii="宋体" w:cs="宋体"/>
          <w:color w:val="auto"/>
          <w:kern w:val="0"/>
          <w:sz w:val="32"/>
          <w:szCs w:val="32"/>
          <w:lang w:val="zh-CN"/>
        </w:rPr>
        <w:t>万元</w:t>
      </w:r>
    </w:p>
    <w:p>
      <w:pPr>
        <w:autoSpaceDE w:val="0"/>
        <w:autoSpaceDN w:val="0"/>
        <w:adjustRightInd w:val="0"/>
        <w:ind w:firstLine="640"/>
        <w:rPr>
          <w:color w:val="auto"/>
          <w:kern w:val="0"/>
          <w:sz w:val="32"/>
          <w:szCs w:val="32"/>
        </w:rPr>
      </w:pPr>
      <w:r>
        <w:rPr>
          <w:color w:val="auto"/>
          <w:kern w:val="0"/>
          <w:sz w:val="32"/>
          <w:szCs w:val="32"/>
        </w:rPr>
        <w:t>2</w:t>
      </w:r>
      <w:r>
        <w:rPr>
          <w:rFonts w:hint="eastAsia" w:ascii="宋体" w:cs="宋体"/>
          <w:color w:val="auto"/>
          <w:kern w:val="0"/>
          <w:sz w:val="32"/>
          <w:szCs w:val="32"/>
          <w:lang w:val="zh-CN"/>
        </w:rPr>
        <w:t>、支出说明</w:t>
      </w:r>
    </w:p>
    <w:p>
      <w:pPr>
        <w:autoSpaceDE w:val="0"/>
        <w:autoSpaceDN w:val="0"/>
        <w:adjustRightInd w:val="0"/>
        <w:ind w:firstLine="640"/>
        <w:rPr>
          <w:color w:val="auto"/>
          <w:kern w:val="0"/>
          <w:sz w:val="32"/>
          <w:szCs w:val="32"/>
        </w:rPr>
      </w:pPr>
      <w:r>
        <w:rPr>
          <w:rFonts w:hint="eastAsia" w:ascii="宋体" w:cs="宋体"/>
          <w:color w:val="auto"/>
          <w:kern w:val="0"/>
          <w:sz w:val="32"/>
          <w:szCs w:val="32"/>
          <w:lang w:val="zh-CN"/>
        </w:rPr>
        <w:t>收支预算总表支出栏、基本支出表、项目支出表按经济分类和支出功能分类科目编制，反映河北省人民代表大会常务委员会办公厅年度部门预算中支出预算的总体情况。</w:t>
      </w:r>
      <w:r>
        <w:rPr>
          <w:color w:val="auto"/>
          <w:kern w:val="0"/>
          <w:sz w:val="32"/>
          <w:szCs w:val="32"/>
        </w:rPr>
        <w:t>2019</w:t>
      </w:r>
      <w:r>
        <w:rPr>
          <w:rFonts w:hint="eastAsia" w:ascii="宋体" w:cs="宋体"/>
          <w:color w:val="auto"/>
          <w:kern w:val="0"/>
          <w:sz w:val="32"/>
          <w:szCs w:val="32"/>
          <w:lang w:val="zh-CN"/>
        </w:rPr>
        <w:t>年部门支出预算为</w:t>
      </w:r>
      <w:r>
        <w:rPr>
          <w:color w:val="auto"/>
          <w:kern w:val="0"/>
          <w:sz w:val="32"/>
          <w:szCs w:val="32"/>
        </w:rPr>
        <w:t>1771.15</w:t>
      </w:r>
      <w:r>
        <w:rPr>
          <w:rFonts w:hint="eastAsia" w:ascii="宋体" w:cs="宋体"/>
          <w:color w:val="auto"/>
          <w:kern w:val="0"/>
          <w:sz w:val="32"/>
          <w:szCs w:val="32"/>
          <w:lang w:val="zh-CN"/>
        </w:rPr>
        <w:t>万元，其中基本支出</w:t>
      </w:r>
      <w:r>
        <w:rPr>
          <w:color w:val="auto"/>
          <w:kern w:val="0"/>
          <w:sz w:val="32"/>
          <w:szCs w:val="32"/>
        </w:rPr>
        <w:t>751.04</w:t>
      </w:r>
      <w:r>
        <w:rPr>
          <w:rFonts w:hint="eastAsia" w:ascii="宋体" w:cs="宋体"/>
          <w:color w:val="auto"/>
          <w:kern w:val="0"/>
          <w:sz w:val="32"/>
          <w:szCs w:val="32"/>
          <w:lang w:val="zh-CN"/>
        </w:rPr>
        <w:t>万元，包括人员经费</w:t>
      </w:r>
      <w:r>
        <w:rPr>
          <w:color w:val="auto"/>
          <w:kern w:val="0"/>
          <w:sz w:val="32"/>
          <w:szCs w:val="32"/>
        </w:rPr>
        <w:t>631.88</w:t>
      </w:r>
      <w:r>
        <w:rPr>
          <w:rFonts w:hint="eastAsia" w:ascii="宋体" w:cs="宋体"/>
          <w:color w:val="auto"/>
          <w:kern w:val="0"/>
          <w:sz w:val="32"/>
          <w:szCs w:val="32"/>
          <w:lang w:val="zh-CN"/>
        </w:rPr>
        <w:t>万元和日常公用经费</w:t>
      </w:r>
      <w:r>
        <w:rPr>
          <w:color w:val="auto"/>
          <w:kern w:val="0"/>
          <w:sz w:val="32"/>
          <w:szCs w:val="32"/>
        </w:rPr>
        <w:t>119.16</w:t>
      </w:r>
      <w:r>
        <w:rPr>
          <w:rFonts w:hint="eastAsia" w:ascii="宋体" w:cs="宋体"/>
          <w:color w:val="auto"/>
          <w:kern w:val="0"/>
          <w:sz w:val="32"/>
          <w:szCs w:val="32"/>
          <w:lang w:val="zh-CN"/>
        </w:rPr>
        <w:t>万元；项目支出</w:t>
      </w:r>
      <w:r>
        <w:rPr>
          <w:color w:val="auto"/>
          <w:kern w:val="0"/>
          <w:sz w:val="32"/>
          <w:szCs w:val="32"/>
        </w:rPr>
        <w:t>1026.11</w:t>
      </w:r>
      <w:r>
        <w:rPr>
          <w:rFonts w:hint="eastAsia" w:ascii="宋体" w:cs="宋体"/>
          <w:color w:val="auto"/>
          <w:kern w:val="0"/>
          <w:sz w:val="32"/>
          <w:szCs w:val="32"/>
          <w:lang w:val="zh-CN"/>
        </w:rPr>
        <w:t>万元，主要为信息化建设经费</w:t>
      </w:r>
      <w:r>
        <w:rPr>
          <w:rFonts w:ascii="宋体" w:cs="宋体"/>
          <w:color w:val="auto"/>
          <w:kern w:val="0"/>
          <w:sz w:val="32"/>
          <w:szCs w:val="32"/>
          <w:lang w:val="zh-CN"/>
        </w:rPr>
        <w:t>100</w:t>
      </w:r>
      <w:r>
        <w:rPr>
          <w:rFonts w:hint="eastAsia" w:ascii="宋体" w:cs="宋体"/>
          <w:color w:val="auto"/>
          <w:kern w:val="0"/>
          <w:sz w:val="32"/>
          <w:szCs w:val="32"/>
          <w:lang w:val="zh-CN"/>
        </w:rPr>
        <w:t>万元，执法办案经费</w:t>
      </w:r>
      <w:r>
        <w:rPr>
          <w:rFonts w:ascii="宋体" w:cs="宋体"/>
          <w:color w:val="auto"/>
          <w:kern w:val="0"/>
          <w:sz w:val="32"/>
          <w:szCs w:val="32"/>
          <w:lang w:val="zh-CN"/>
        </w:rPr>
        <w:t>673.49</w:t>
      </w:r>
      <w:r>
        <w:rPr>
          <w:rFonts w:hint="eastAsia" w:ascii="宋体" w:cs="宋体"/>
          <w:color w:val="auto"/>
          <w:kern w:val="0"/>
          <w:sz w:val="32"/>
          <w:szCs w:val="32"/>
          <w:lang w:val="zh-CN"/>
        </w:rPr>
        <w:t>万元，科学技术支出经费</w:t>
      </w:r>
      <w:r>
        <w:rPr>
          <w:rFonts w:ascii="宋体" w:cs="宋体"/>
          <w:color w:val="auto"/>
          <w:kern w:val="0"/>
          <w:sz w:val="32"/>
          <w:szCs w:val="32"/>
          <w:lang w:val="zh-CN"/>
        </w:rPr>
        <w:t>252.62</w:t>
      </w:r>
      <w:r>
        <w:rPr>
          <w:rFonts w:hint="eastAsia" w:ascii="宋体" w:cs="宋体"/>
          <w:color w:val="auto"/>
          <w:kern w:val="0"/>
          <w:sz w:val="32"/>
          <w:szCs w:val="32"/>
          <w:lang w:val="zh-CN"/>
        </w:rPr>
        <w:t>万元。</w:t>
      </w:r>
    </w:p>
    <w:p>
      <w:pPr>
        <w:autoSpaceDE w:val="0"/>
        <w:autoSpaceDN w:val="0"/>
        <w:adjustRightInd w:val="0"/>
        <w:ind w:firstLine="640"/>
        <w:rPr>
          <w:color w:val="auto"/>
          <w:kern w:val="0"/>
          <w:sz w:val="32"/>
          <w:szCs w:val="32"/>
        </w:rPr>
      </w:pPr>
      <w:r>
        <w:rPr>
          <w:color w:val="auto"/>
          <w:kern w:val="0"/>
          <w:sz w:val="32"/>
          <w:szCs w:val="32"/>
        </w:rPr>
        <w:t>3</w:t>
      </w:r>
      <w:r>
        <w:rPr>
          <w:rFonts w:hint="eastAsia" w:ascii="宋体" w:cs="宋体"/>
          <w:color w:val="auto"/>
          <w:kern w:val="0"/>
          <w:sz w:val="32"/>
          <w:szCs w:val="32"/>
          <w:lang w:val="zh-CN"/>
        </w:rPr>
        <w:t>、比上年增减情况</w:t>
      </w:r>
    </w:p>
    <w:p>
      <w:pPr>
        <w:autoSpaceDE w:val="0"/>
        <w:autoSpaceDN w:val="0"/>
        <w:adjustRightInd w:val="0"/>
        <w:ind w:firstLine="640"/>
        <w:rPr>
          <w:color w:val="auto"/>
          <w:kern w:val="0"/>
          <w:sz w:val="32"/>
          <w:szCs w:val="32"/>
        </w:rPr>
      </w:pPr>
      <w:r>
        <w:rPr>
          <w:color w:val="auto"/>
          <w:kern w:val="0"/>
          <w:sz w:val="32"/>
          <w:szCs w:val="32"/>
        </w:rPr>
        <w:t>2019</w:t>
      </w:r>
      <w:r>
        <w:rPr>
          <w:rFonts w:hint="eastAsia" w:ascii="宋体" w:cs="宋体"/>
          <w:color w:val="auto"/>
          <w:kern w:val="0"/>
          <w:sz w:val="32"/>
          <w:szCs w:val="32"/>
          <w:lang w:val="zh-CN"/>
        </w:rPr>
        <w:t>年，部门预算收支安排</w:t>
      </w:r>
      <w:r>
        <w:rPr>
          <w:color w:val="auto"/>
          <w:kern w:val="0"/>
          <w:sz w:val="32"/>
          <w:szCs w:val="32"/>
        </w:rPr>
        <w:t>1771.15</w:t>
      </w:r>
      <w:r>
        <w:rPr>
          <w:rFonts w:hint="eastAsia" w:ascii="宋体" w:cs="宋体"/>
          <w:color w:val="auto"/>
          <w:kern w:val="0"/>
          <w:sz w:val="32"/>
          <w:szCs w:val="32"/>
          <w:lang w:val="zh-CN"/>
        </w:rPr>
        <w:t>万元，较</w:t>
      </w:r>
      <w:r>
        <w:rPr>
          <w:color w:val="auto"/>
          <w:kern w:val="0"/>
          <w:sz w:val="32"/>
          <w:szCs w:val="32"/>
        </w:rPr>
        <w:t>2018</w:t>
      </w:r>
      <w:r>
        <w:rPr>
          <w:rFonts w:hint="eastAsia" w:ascii="宋体" w:cs="宋体"/>
          <w:color w:val="auto"/>
          <w:kern w:val="0"/>
          <w:sz w:val="32"/>
          <w:szCs w:val="32"/>
          <w:lang w:val="zh-CN"/>
        </w:rPr>
        <w:t>年增长</w:t>
      </w:r>
      <w:r>
        <w:rPr>
          <w:color w:val="auto"/>
          <w:kern w:val="0"/>
          <w:sz w:val="32"/>
          <w:szCs w:val="32"/>
        </w:rPr>
        <w:t>427.59</w:t>
      </w:r>
      <w:r>
        <w:rPr>
          <w:rFonts w:hint="eastAsia" w:ascii="宋体" w:cs="宋体"/>
          <w:color w:val="auto"/>
          <w:kern w:val="0"/>
          <w:sz w:val="32"/>
          <w:szCs w:val="32"/>
          <w:lang w:val="zh-CN"/>
        </w:rPr>
        <w:t>万元，其中：基本支出增长</w:t>
      </w:r>
      <w:r>
        <w:rPr>
          <w:color w:val="auto"/>
          <w:kern w:val="0"/>
          <w:sz w:val="32"/>
          <w:szCs w:val="32"/>
        </w:rPr>
        <w:t>52.38</w:t>
      </w:r>
      <w:r>
        <w:rPr>
          <w:rFonts w:hint="eastAsia" w:ascii="宋体" w:cs="宋体"/>
          <w:color w:val="auto"/>
          <w:kern w:val="0"/>
          <w:sz w:val="32"/>
          <w:szCs w:val="32"/>
          <w:lang w:val="zh-CN"/>
        </w:rPr>
        <w:t>万元，主要是增加人员经费；项目支出增长</w:t>
      </w:r>
      <w:r>
        <w:rPr>
          <w:color w:val="auto"/>
          <w:kern w:val="0"/>
          <w:sz w:val="32"/>
          <w:szCs w:val="32"/>
        </w:rPr>
        <w:t>381.21</w:t>
      </w:r>
      <w:r>
        <w:rPr>
          <w:rFonts w:hint="eastAsia" w:ascii="宋体" w:cs="宋体"/>
          <w:color w:val="auto"/>
          <w:kern w:val="0"/>
          <w:sz w:val="32"/>
          <w:szCs w:val="32"/>
          <w:lang w:val="zh-CN"/>
        </w:rPr>
        <w:t>万元，主要是由于增加了城区标线和两员两站建设。</w:t>
      </w:r>
    </w:p>
    <w:p>
      <w:pPr>
        <w:autoSpaceDE w:val="0"/>
        <w:autoSpaceDN w:val="0"/>
        <w:adjustRightInd w:val="0"/>
        <w:ind w:firstLine="960"/>
        <w:jc w:val="left"/>
        <w:rPr>
          <w:rFonts w:asciiTheme="majorEastAsia" w:hAnsiTheme="majorEastAsia" w:eastAsiaTheme="majorEastAsia"/>
          <w:color w:val="auto"/>
          <w:kern w:val="0"/>
          <w:sz w:val="32"/>
          <w:szCs w:val="32"/>
          <w:lang w:val="zh-CN"/>
        </w:rPr>
      </w:pPr>
      <w:r>
        <w:rPr>
          <w:rFonts w:hint="eastAsia" w:asciiTheme="majorEastAsia" w:hAnsiTheme="majorEastAsia" w:eastAsiaTheme="majorEastAsia"/>
          <w:color w:val="auto"/>
          <w:kern w:val="0"/>
          <w:sz w:val="32"/>
          <w:szCs w:val="32"/>
          <w:lang w:val="zh-CN"/>
        </w:rPr>
        <w:t>三、机关运行经费安排情况</w:t>
      </w:r>
    </w:p>
    <w:p>
      <w:pPr>
        <w:autoSpaceDE w:val="0"/>
        <w:autoSpaceDN w:val="0"/>
        <w:adjustRightInd w:val="0"/>
        <w:ind w:left="197" w:leftChars="94" w:firstLine="320" w:firstLineChars="100"/>
        <w:jc w:val="left"/>
        <w:rPr>
          <w:rFonts w:asciiTheme="majorEastAsia" w:hAnsiTheme="majorEastAsia" w:eastAsiaTheme="majorEastAsia"/>
          <w:color w:val="auto"/>
          <w:kern w:val="0"/>
          <w:sz w:val="32"/>
          <w:szCs w:val="32"/>
        </w:rPr>
      </w:pPr>
      <w:r>
        <w:rPr>
          <w:rFonts w:asciiTheme="majorEastAsia" w:hAnsiTheme="majorEastAsia" w:eastAsiaTheme="majorEastAsia"/>
          <w:color w:val="auto"/>
          <w:kern w:val="0"/>
          <w:sz w:val="32"/>
          <w:szCs w:val="32"/>
        </w:rPr>
        <w:t>2019</w:t>
      </w:r>
      <w:r>
        <w:rPr>
          <w:rFonts w:hint="eastAsia" w:asciiTheme="majorEastAsia" w:hAnsiTheme="majorEastAsia" w:eastAsiaTheme="majorEastAsia"/>
          <w:color w:val="auto"/>
          <w:kern w:val="0"/>
          <w:sz w:val="32"/>
          <w:szCs w:val="32"/>
          <w:lang w:val="zh-CN"/>
        </w:rPr>
        <w:t>年，我部门机关运行经费共计安排</w:t>
      </w:r>
      <w:r>
        <w:rPr>
          <w:rFonts w:hint="eastAsia" w:asciiTheme="majorEastAsia" w:hAnsiTheme="majorEastAsia" w:eastAsiaTheme="majorEastAsia"/>
          <w:color w:val="auto"/>
          <w:kern w:val="0"/>
          <w:sz w:val="32"/>
          <w:szCs w:val="32"/>
          <w:lang w:val="en-US" w:eastAsia="zh-CN"/>
        </w:rPr>
        <w:t>119.16</w:t>
      </w:r>
      <w:r>
        <w:rPr>
          <w:rFonts w:hint="eastAsia" w:asciiTheme="majorEastAsia" w:hAnsiTheme="majorEastAsia" w:eastAsiaTheme="majorEastAsia"/>
          <w:color w:val="auto"/>
          <w:kern w:val="0"/>
          <w:sz w:val="32"/>
          <w:szCs w:val="32"/>
          <w:lang w:val="zh-CN"/>
        </w:rPr>
        <w:t>元，主要用于保证机关正常运转的办公及印刷费、邮电费、差旅费、福利费、办公用房取暖费、公务车运行维护费和其他交通费等支出。</w:t>
      </w:r>
    </w:p>
    <w:p>
      <w:pPr>
        <w:autoSpaceDE w:val="0"/>
        <w:autoSpaceDN w:val="0"/>
        <w:adjustRightInd w:val="0"/>
        <w:ind w:left="198" w:firstLine="640"/>
        <w:jc w:val="left"/>
        <w:rPr>
          <w:rFonts w:asciiTheme="majorEastAsia" w:hAnsiTheme="majorEastAsia" w:eastAsiaTheme="majorEastAsia"/>
          <w:color w:val="auto"/>
          <w:kern w:val="0"/>
          <w:sz w:val="32"/>
          <w:szCs w:val="32"/>
          <w:lang w:val="zh-CN"/>
        </w:rPr>
      </w:pPr>
      <w:r>
        <w:rPr>
          <w:rFonts w:hint="eastAsia" w:asciiTheme="majorEastAsia" w:hAnsiTheme="majorEastAsia" w:eastAsiaTheme="majorEastAsia"/>
          <w:color w:val="auto"/>
          <w:kern w:val="0"/>
          <w:sz w:val="32"/>
          <w:szCs w:val="32"/>
          <w:lang w:val="zh-CN"/>
        </w:rPr>
        <w:t>四、财政拨款</w:t>
      </w:r>
      <w:r>
        <w:rPr>
          <w:rFonts w:asciiTheme="majorEastAsia" w:hAnsiTheme="majorEastAsia" w:eastAsiaTheme="majorEastAsia"/>
          <w:color w:val="auto"/>
          <w:kern w:val="0"/>
          <w:sz w:val="32"/>
          <w:szCs w:val="32"/>
          <w:lang w:val="zh-CN"/>
        </w:rPr>
        <w:t>“</w:t>
      </w:r>
      <w:r>
        <w:rPr>
          <w:rFonts w:hint="eastAsia" w:asciiTheme="majorEastAsia" w:hAnsiTheme="majorEastAsia" w:eastAsiaTheme="majorEastAsia"/>
          <w:color w:val="auto"/>
          <w:kern w:val="0"/>
          <w:sz w:val="32"/>
          <w:szCs w:val="32"/>
          <w:lang w:val="zh-CN"/>
        </w:rPr>
        <w:t>三公</w:t>
      </w:r>
      <w:r>
        <w:rPr>
          <w:rFonts w:asciiTheme="majorEastAsia" w:hAnsiTheme="majorEastAsia" w:eastAsiaTheme="majorEastAsia"/>
          <w:color w:val="auto"/>
          <w:kern w:val="0"/>
          <w:sz w:val="32"/>
          <w:szCs w:val="32"/>
          <w:lang w:val="zh-CN"/>
        </w:rPr>
        <w:t>”</w:t>
      </w:r>
      <w:r>
        <w:rPr>
          <w:rFonts w:hint="eastAsia" w:asciiTheme="majorEastAsia" w:hAnsiTheme="majorEastAsia" w:eastAsiaTheme="majorEastAsia"/>
          <w:color w:val="auto"/>
          <w:kern w:val="0"/>
          <w:sz w:val="32"/>
          <w:szCs w:val="32"/>
          <w:lang w:val="zh-CN"/>
        </w:rPr>
        <w:t>经费预算情况及增减变化原因</w:t>
      </w:r>
    </w:p>
    <w:p>
      <w:pPr>
        <w:autoSpaceDE w:val="0"/>
        <w:autoSpaceDN w:val="0"/>
        <w:adjustRightInd w:val="0"/>
        <w:ind w:left="198" w:firstLine="640"/>
        <w:jc w:val="left"/>
        <w:rPr>
          <w:rFonts w:asciiTheme="majorEastAsia" w:hAnsiTheme="majorEastAsia" w:eastAsiaTheme="majorEastAsia"/>
          <w:color w:val="auto"/>
          <w:kern w:val="0"/>
          <w:sz w:val="32"/>
          <w:szCs w:val="32"/>
        </w:rPr>
      </w:pPr>
      <w:r>
        <w:rPr>
          <w:rFonts w:asciiTheme="majorEastAsia" w:hAnsiTheme="majorEastAsia" w:eastAsiaTheme="majorEastAsia"/>
          <w:color w:val="auto"/>
          <w:kern w:val="0"/>
          <w:sz w:val="32"/>
          <w:szCs w:val="32"/>
        </w:rPr>
        <w:t>2019</w:t>
      </w:r>
      <w:r>
        <w:rPr>
          <w:rFonts w:hint="eastAsia" w:asciiTheme="majorEastAsia" w:hAnsiTheme="majorEastAsia" w:eastAsiaTheme="majorEastAsia"/>
          <w:color w:val="auto"/>
          <w:kern w:val="0"/>
          <w:sz w:val="32"/>
          <w:szCs w:val="32"/>
          <w:lang w:val="zh-CN"/>
        </w:rPr>
        <w:t>年，我部门财政拨款</w:t>
      </w:r>
      <w:r>
        <w:rPr>
          <w:rFonts w:asciiTheme="majorEastAsia" w:hAnsiTheme="majorEastAsia" w:eastAsiaTheme="majorEastAsia"/>
          <w:color w:val="auto"/>
          <w:kern w:val="0"/>
          <w:sz w:val="32"/>
          <w:szCs w:val="32"/>
          <w:lang w:val="zh-CN"/>
        </w:rPr>
        <w:t>“</w:t>
      </w:r>
      <w:r>
        <w:rPr>
          <w:rFonts w:hint="eastAsia" w:asciiTheme="majorEastAsia" w:hAnsiTheme="majorEastAsia" w:eastAsiaTheme="majorEastAsia"/>
          <w:color w:val="auto"/>
          <w:kern w:val="0"/>
          <w:sz w:val="32"/>
          <w:szCs w:val="32"/>
          <w:lang w:val="zh-CN"/>
        </w:rPr>
        <w:t>三公</w:t>
      </w:r>
      <w:r>
        <w:rPr>
          <w:rFonts w:asciiTheme="majorEastAsia" w:hAnsiTheme="majorEastAsia" w:eastAsiaTheme="majorEastAsia"/>
          <w:color w:val="auto"/>
          <w:kern w:val="0"/>
          <w:sz w:val="32"/>
          <w:szCs w:val="32"/>
          <w:lang w:val="zh-CN"/>
        </w:rPr>
        <w:t>”</w:t>
      </w:r>
      <w:r>
        <w:rPr>
          <w:rFonts w:hint="eastAsia" w:asciiTheme="majorEastAsia" w:hAnsiTheme="majorEastAsia" w:eastAsiaTheme="majorEastAsia"/>
          <w:color w:val="auto"/>
          <w:kern w:val="0"/>
          <w:sz w:val="32"/>
          <w:szCs w:val="32"/>
          <w:lang w:val="zh-CN"/>
        </w:rPr>
        <w:t>经费预算安排</w:t>
      </w:r>
      <w:r>
        <w:rPr>
          <w:rFonts w:asciiTheme="majorEastAsia" w:hAnsiTheme="majorEastAsia" w:eastAsiaTheme="majorEastAsia"/>
          <w:color w:val="auto"/>
          <w:kern w:val="0"/>
          <w:sz w:val="32"/>
          <w:szCs w:val="32"/>
        </w:rPr>
        <w:t>1.2</w:t>
      </w:r>
      <w:r>
        <w:rPr>
          <w:rFonts w:hint="eastAsia" w:asciiTheme="majorEastAsia" w:hAnsiTheme="majorEastAsia" w:eastAsiaTheme="majorEastAsia"/>
          <w:color w:val="auto"/>
          <w:kern w:val="0"/>
          <w:sz w:val="32"/>
          <w:szCs w:val="32"/>
          <w:lang w:val="zh-CN"/>
        </w:rPr>
        <w:t>元，其中：公务用车运行维护费</w:t>
      </w:r>
      <w:r>
        <w:rPr>
          <w:rFonts w:asciiTheme="majorEastAsia" w:hAnsiTheme="majorEastAsia" w:eastAsiaTheme="majorEastAsia"/>
          <w:color w:val="auto"/>
          <w:kern w:val="0"/>
          <w:sz w:val="32"/>
          <w:szCs w:val="32"/>
        </w:rPr>
        <w:t>1.2</w:t>
      </w:r>
      <w:r>
        <w:rPr>
          <w:rFonts w:hint="eastAsia" w:asciiTheme="majorEastAsia" w:hAnsiTheme="majorEastAsia" w:eastAsiaTheme="majorEastAsia"/>
          <w:color w:val="auto"/>
          <w:kern w:val="0"/>
          <w:sz w:val="32"/>
          <w:szCs w:val="32"/>
          <w:lang w:val="zh-CN"/>
        </w:rPr>
        <w:t>万元，</w:t>
      </w:r>
      <w:r>
        <w:rPr>
          <w:rFonts w:asciiTheme="majorEastAsia" w:hAnsiTheme="majorEastAsia" w:eastAsiaTheme="majorEastAsia"/>
          <w:color w:val="auto"/>
          <w:kern w:val="0"/>
          <w:sz w:val="32"/>
          <w:szCs w:val="32"/>
          <w:lang w:val="zh-CN"/>
        </w:rPr>
        <w:t>“</w:t>
      </w:r>
      <w:r>
        <w:rPr>
          <w:rFonts w:hint="eastAsia" w:asciiTheme="majorEastAsia" w:hAnsiTheme="majorEastAsia" w:eastAsiaTheme="majorEastAsia"/>
          <w:color w:val="auto"/>
          <w:kern w:val="0"/>
          <w:sz w:val="32"/>
          <w:szCs w:val="32"/>
          <w:lang w:val="zh-CN"/>
        </w:rPr>
        <w:t>三公</w:t>
      </w:r>
      <w:r>
        <w:rPr>
          <w:rFonts w:asciiTheme="majorEastAsia" w:hAnsiTheme="majorEastAsia" w:eastAsiaTheme="majorEastAsia"/>
          <w:color w:val="auto"/>
          <w:kern w:val="0"/>
          <w:sz w:val="32"/>
          <w:szCs w:val="32"/>
          <w:lang w:val="zh-CN"/>
        </w:rPr>
        <w:t>”</w:t>
      </w:r>
      <w:r>
        <w:rPr>
          <w:rFonts w:hint="eastAsia" w:asciiTheme="majorEastAsia" w:hAnsiTheme="majorEastAsia" w:eastAsiaTheme="majorEastAsia"/>
          <w:color w:val="auto"/>
          <w:kern w:val="0"/>
          <w:sz w:val="32"/>
          <w:szCs w:val="32"/>
          <w:lang w:val="zh-CN"/>
        </w:rPr>
        <w:t>经费与上年持平，无增减变化。</w:t>
      </w:r>
    </w:p>
    <w:p>
      <w:pPr>
        <w:autoSpaceDE w:val="0"/>
        <w:autoSpaceDN w:val="0"/>
        <w:adjustRightInd w:val="0"/>
        <w:ind w:left="198" w:firstLine="640"/>
        <w:jc w:val="left"/>
        <w:rPr>
          <w:rFonts w:asciiTheme="majorEastAsia" w:hAnsiTheme="majorEastAsia" w:eastAsiaTheme="majorEastAsia"/>
          <w:color w:val="auto"/>
          <w:kern w:val="0"/>
          <w:sz w:val="32"/>
          <w:szCs w:val="32"/>
          <w:lang w:val="zh-CN"/>
        </w:rPr>
      </w:pPr>
      <w:r>
        <w:rPr>
          <w:rFonts w:hint="eastAsia" w:asciiTheme="majorEastAsia" w:hAnsiTheme="majorEastAsia" w:eastAsiaTheme="majorEastAsia"/>
          <w:color w:val="auto"/>
          <w:kern w:val="0"/>
          <w:sz w:val="32"/>
          <w:szCs w:val="32"/>
          <w:lang w:val="zh-CN"/>
        </w:rPr>
        <w:t>五、绩效预算信息</w:t>
      </w:r>
    </w:p>
    <w:p>
      <w:pPr>
        <w:autoSpaceDE w:val="0"/>
        <w:autoSpaceDN w:val="0"/>
        <w:adjustRightInd w:val="0"/>
        <w:ind w:left="198" w:firstLine="643"/>
        <w:jc w:val="left"/>
        <w:rPr>
          <w:rFonts w:asciiTheme="majorEastAsia" w:hAnsiTheme="majorEastAsia" w:eastAsiaTheme="majorEastAsia"/>
          <w:b/>
          <w:bCs/>
          <w:color w:val="auto"/>
          <w:kern w:val="0"/>
          <w:sz w:val="32"/>
          <w:szCs w:val="32"/>
        </w:rPr>
      </w:pPr>
      <w:r>
        <w:rPr>
          <w:rFonts w:hint="eastAsia" w:cs="宋体" w:asciiTheme="majorEastAsia" w:hAnsiTheme="majorEastAsia" w:eastAsiaTheme="majorEastAsia"/>
          <w:b/>
          <w:bCs/>
          <w:color w:val="auto"/>
          <w:kern w:val="0"/>
          <w:sz w:val="32"/>
          <w:szCs w:val="32"/>
          <w:lang w:val="zh-CN"/>
        </w:rPr>
        <w:t>总体绩效目标：</w:t>
      </w:r>
    </w:p>
    <w:p>
      <w:pPr>
        <w:spacing w:line="500" w:lineRule="exact"/>
        <w:ind w:firstLine="640" w:firstLineChars="200"/>
        <w:rPr>
          <w:rFonts w:ascii="方正仿宋_GBK" w:eastAsia="方正仿宋_GBK"/>
          <w:color w:val="auto"/>
          <w:sz w:val="32"/>
          <w:szCs w:val="32"/>
        </w:rPr>
      </w:pPr>
      <w:r>
        <w:rPr>
          <w:rFonts w:ascii="方正仿宋_GBK" w:eastAsia="方正仿宋_GBK"/>
          <w:color w:val="auto"/>
          <w:sz w:val="32"/>
          <w:szCs w:val="32"/>
        </w:rPr>
        <w:t>曲阳县交警大队,为更好保证人民生命财产安全，维护良好的经济发展环境，明年我单位要整合资金集中财力重点安排系统交通设施和技术装备,改善执法设备落后的状况，2019年发展规划目标:</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一、履职尽责，确保道路安全畅通</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紧紧围绕防事故、保安全、保畅通这一中心工作，大力整治交通秩序，强化源头管理工作，维护道路交通安全畅通。</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1、强化交通秩序整治工作。预防重特大交通事故发生。深入扎实的开展常态化打击整治工作，日常性管理与专项治理相结合，强化路面控制，始终保持治理高压态势，遏制违法，减少了交通堵塞。对缉查布控系统使用中存在的问题，积极采取措施，进行整改，保证正常使用，充分发挥高科技设施管理作用，打击违法犯罪。强化农村交通道路管理，积极开展推进农村工作站建设。</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2、强化源头管理，做好事故预防工作。一是严把车辆牌照和驾驶证发放关，抓好源头管理。二是加强重点车辆、企业、驾驶人的源头监管，加强学习培训教育，建立健全信息档案和各项台账，督促企业落实安全主体责任。三是加强对事故隐患路段和交通安全设施的排查，及时将排查情况及整改建议报告政府协调相关部门，加强整改，消除安全隐患，维护道路安全畅通。</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3、加强窗口单位建设，增强服务意识。落实便民利民服务措施，最大程度地为群众提供方便。做好车管、路管源头工作。</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交通事故处理工作，严格执行道路交通事故处理规定。把打击肇事逃逸犯罪作为重点工作，打击了逃逸犯罪的猖獗势头。交通事故四项指数与去年同期比死亡人数下降，其他三项上升。同时，对事故发生的总体情况进行综合分析，有针对性地提出管理和整治重点目标，遏制违法，减少事故。</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4、开展多种形式的宣传活动。深入企业、学校、乡村加强交通安全教育工作，强化全民交通安全意识，利用新闻媒体、LED屏、宣传条幅、短信、微信、发放宣传材料等多种方式，向社会宣传交通安全法知识。同时通过媒体宣传交警工作，教育广大群众支持、理解、配合工作，共同维护交通安全。</w:t>
      </w:r>
    </w:p>
    <w:p>
      <w:pPr>
        <w:spacing w:line="500" w:lineRule="exact"/>
        <w:ind w:firstLine="640" w:firstLineChars="200"/>
        <w:rPr>
          <w:rFonts w:ascii="方正仿宋_GBK" w:eastAsia="方正仿宋_GBK"/>
          <w:color w:val="auto"/>
          <w:sz w:val="32"/>
          <w:szCs w:val="32"/>
        </w:rPr>
      </w:pPr>
      <w:r>
        <w:rPr>
          <w:rFonts w:ascii="方正仿宋_GBK" w:eastAsia="方正仿宋_GBK"/>
          <w:color w:val="auto"/>
          <w:sz w:val="32"/>
          <w:szCs w:val="32"/>
        </w:rPr>
        <w:t>二、发挥一警多能作用，维护社会稳定</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充分发挥交警的职能特色作用，切实做好保障社会稳定和道路交通安全畅通，大队认真安排，全力以赴，充分发挥职能作用，扎实开展安保各项工作，领导一线带队工作，昼夜执勤，确保不让一台可疑车辆、一名危险人员通过。</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三、狠抓队伍管理，提升队伍整体素质</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坚持队伍严抓严管，促进队伍规范化建设。一是将工作和责任落实到每个领导、单位和民警，确保各项工作措施真正落到实处。二是强化教育训练。在加强硬件装备的同时，积极开展教育培训活动，提高队伍素质和执法水平。三是深入开展“一问责、八清理”活动，强化工作纪律和责任观念。四是加强监督制约机制，加强查岗查勤工作，狠抓苗头性问题，保障队伍建设在健康向上的轨道上发展。五是坚持从日常工作行为抓起，建立规范的工作、生活、学习秩序，使民警以良好的精神状态投入各项工作中。</w:t>
      </w:r>
    </w:p>
    <w:p>
      <w:pPr>
        <w:autoSpaceDE w:val="0"/>
        <w:autoSpaceDN w:val="0"/>
        <w:adjustRightInd w:val="0"/>
        <w:ind w:left="198" w:firstLine="643"/>
        <w:jc w:val="left"/>
        <w:rPr>
          <w:b/>
          <w:bCs/>
          <w:color w:val="auto"/>
          <w:kern w:val="0"/>
          <w:sz w:val="32"/>
          <w:szCs w:val="32"/>
        </w:rPr>
      </w:pPr>
      <w:r>
        <w:rPr>
          <w:rFonts w:hint="eastAsia" w:ascii="宋体" w:cs="宋体"/>
          <w:b/>
          <w:bCs/>
          <w:color w:val="auto"/>
          <w:kern w:val="0"/>
          <w:sz w:val="32"/>
          <w:szCs w:val="32"/>
          <w:lang w:val="zh-CN"/>
        </w:rPr>
        <w:t>职责分类绩效目标：</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自实行《中华人民共和国道路交通安全法》以来，曲阳县交警大队现有技术装备和基础设施及管理手段已不适应新交法实施要求，为切实保证人民生命财产安全，维护良好的经济发展环境，明年我单位要整合资金集中财力重点安排系统交通设施和技术装备、执法设备落后的状况，为人民群众出行提供安全保障,打击违法犯罪活动,维护社会稳定.</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一、</w:t>
      </w:r>
      <w:r>
        <w:rPr>
          <w:rFonts w:hint="eastAsia" w:ascii="方正仿宋_GBK" w:eastAsia="方正仿宋_GBK"/>
          <w:color w:val="auto"/>
          <w:sz w:val="32"/>
          <w:szCs w:val="32"/>
          <w:lang w:eastAsia="zh-CN"/>
        </w:rPr>
        <w:t>道路交通</w:t>
      </w:r>
      <w:r>
        <w:rPr>
          <w:rFonts w:ascii="方正仿宋_GBK" w:eastAsia="方正仿宋_GBK"/>
          <w:color w:val="auto"/>
          <w:sz w:val="32"/>
          <w:szCs w:val="32"/>
        </w:rPr>
        <w:t>管理</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1、2019年曲阳县公安局交通管理大队加强科技信息化建设和应用，提高交通管理科技信息应用能力和水平，服务广大交通参与者，提高公安交警科技装备水平。能够第一时间掌握路面情况，第一时间发布指令，提升应急反应能为进一步促进公安机关职能作用的发挥，保证公安机关严格公正文明执法，维护人民群众切身利益，为公安机关的工作提供强有力的经济保障，全面维护全县人民的安全，有效维护全县社会稳定，打击犯罪，使交通事故处理办结率（%）达到85%以上，交通事故下降率20%。</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2、提高公安交警科技装备水平，确保重大突发事件得到及时处置，主要包括交通信号灯和电子警察指挥系统更新等项目，升级改造城建局路、二医院路口、仁济医院路口、汽车站路口商业大楼路口、高速路口、永宁小区路口，凯嘉路口等路口，共8套监控设备，完成电子卡口建设,加大卡口监管力度，对交通肇事等违法犯罪行为进行有效遏制,降低违法行为维护良好社会秩序,业务保障能力提升20%。</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二、车辆和驾驶人管理：规范机动车登记行为，保护公民、法人和其他组织的合法权益，促进经济、社会发展，保障道路交通安全；促进提高机动车驾驶人安全文明驾驶素质，全力预防和减少重特大道路交通事故。</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三、交管政务管理：开展交通法制建设与安全宣传、交警系统行政性收费和经费保障工作、队伍建设工作指导和调研工作，组织、规划交通管理信息化建设与应用、通讯网建设和交通管理信息系统建设推广，开展新技术推广应用工作。</w:t>
      </w:r>
    </w:p>
    <w:p>
      <w:pPr>
        <w:jc w:val="left"/>
        <w:rPr>
          <w:rFonts w:ascii="方正黑体_GBK" w:eastAsia="方正黑体_GBK"/>
          <w:color w:val="auto"/>
          <w:sz w:val="32"/>
          <w:szCs w:val="32"/>
        </w:rPr>
      </w:pPr>
      <w:r>
        <w:rPr>
          <w:rFonts w:hint="eastAsia" w:ascii="方正黑体_GBK" w:eastAsia="方正黑体_GBK"/>
          <w:color w:val="auto"/>
          <w:sz w:val="32"/>
          <w:szCs w:val="32"/>
        </w:rPr>
        <w:t xml:space="preserve">    二、实现年度发展规划目标的保障措施</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为了跟好完成2019年度各项工作,保障人民群众切身利益,维护社会稳定,曲阳县公安局交通管理大队制定如下措施:</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一是把从严治警，预防违法违纪作为队伍建设的方向，狠抓管理，规范执法行为，严防信访投诉,“三乱”等微腐败问题发生，树立良好的执法形象。</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二是加强交通安全设施建设，积极向政府汇报工作，加强城区重点路段及外环路交通安全设施建设，推进交通安全设施基础建设。</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三是加强宣传教育工作。充分依托各种宣传媒介，全方位、多层次、多渠道地开展交通法规宣传，增强全民交通安全意识和守法观念。</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四是加强路面管控，严查各类严重交通违法行为，加强动态巡逻和疏导管理，特别加强重点车辆和违法行为的整治，预防严重堵塞和重特大交通事故。</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五是加强信息反馈和工作措施的落实，确保警令畅通，确保上级各项工作部署和要求及时准确传达到每名民警，圆满完成工作任务。</w:t>
      </w:r>
    </w:p>
    <w:p>
      <w:pPr>
        <w:spacing w:line="500" w:lineRule="exact"/>
        <w:ind w:firstLine="560"/>
        <w:rPr>
          <w:rFonts w:ascii="方正仿宋_GBK" w:eastAsia="方正仿宋_GBK"/>
          <w:color w:val="auto"/>
          <w:sz w:val="32"/>
          <w:szCs w:val="32"/>
        </w:rPr>
      </w:pPr>
      <w:r>
        <w:rPr>
          <w:rFonts w:ascii="方正仿宋_GBK" w:eastAsia="方正仿宋_GBK"/>
          <w:color w:val="auto"/>
          <w:sz w:val="32"/>
          <w:szCs w:val="32"/>
        </w:rPr>
        <w:t>六是继续加强执法规范化工作，全面提高执法工作水平。</w:t>
      </w:r>
    </w:p>
    <w:p>
      <w:pPr>
        <w:spacing w:line="500" w:lineRule="exact"/>
        <w:ind w:firstLine="560"/>
        <w:rPr>
          <w:rFonts w:ascii="方正仿宋_GBK" w:eastAsia="方正仿宋_GBK"/>
          <w:color w:val="auto"/>
          <w:sz w:val="28"/>
        </w:rPr>
      </w:pPr>
      <w:r>
        <w:rPr>
          <w:rFonts w:ascii="方正仿宋_GBK" w:eastAsia="方正仿宋_GBK"/>
          <w:color w:val="auto"/>
          <w:sz w:val="32"/>
          <w:szCs w:val="32"/>
        </w:rPr>
        <w:t>七是加强值班备勤，提高接出警速度，减少重特大事故发生。</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p>
    <w:p>
      <w:pPr>
        <w:autoSpaceDE w:val="0"/>
        <w:autoSpaceDN w:val="0"/>
        <w:adjustRightInd w:val="0"/>
        <w:ind w:left="198" w:firstLine="643" w:firstLineChars="200"/>
        <w:jc w:val="left"/>
        <w:rPr>
          <w:rFonts w:ascii="Times New Roman" w:hAnsi="Times New Roman" w:eastAsia="仿宋" w:cs="Times New Roman"/>
          <w:b/>
          <w:color w:val="auto"/>
          <w:sz w:val="32"/>
          <w:szCs w:val="32"/>
        </w:rPr>
      </w:pPr>
    </w:p>
    <w:p>
      <w:pPr>
        <w:autoSpaceDE w:val="0"/>
        <w:autoSpaceDN w:val="0"/>
        <w:adjustRightInd w:val="0"/>
        <w:jc w:val="left"/>
        <w:rPr>
          <w:rFonts w:hint="eastAsia" w:ascii="Times New Roman" w:hAnsi="Times New Roman" w:eastAsia="仿宋" w:cs="Times New Roman"/>
          <w:b/>
          <w:color w:val="auto"/>
          <w:sz w:val="32"/>
          <w:szCs w:val="32"/>
        </w:rPr>
      </w:pPr>
    </w:p>
    <w:p>
      <w:pPr>
        <w:autoSpaceDE w:val="0"/>
        <w:autoSpaceDN w:val="0"/>
        <w:adjustRightInd w:val="0"/>
        <w:jc w:val="left"/>
        <w:rPr>
          <w:rFonts w:hint="eastAsia" w:ascii="Times New Roman" w:hAnsi="Times New Roman" w:eastAsia="仿宋" w:cs="Times New Roman"/>
          <w:b/>
          <w:color w:val="auto"/>
          <w:sz w:val="32"/>
          <w:szCs w:val="32"/>
        </w:rPr>
      </w:pPr>
    </w:p>
    <w:p>
      <w:pPr>
        <w:autoSpaceDE w:val="0"/>
        <w:autoSpaceDN w:val="0"/>
        <w:adjustRightInd w:val="0"/>
        <w:jc w:val="left"/>
        <w:rPr>
          <w:rFonts w:hint="eastAsia" w:ascii="Times New Roman" w:hAnsi="Times New Roman" w:eastAsia="仿宋" w:cs="Times New Roman"/>
          <w:b/>
          <w:color w:val="auto"/>
          <w:sz w:val="32"/>
          <w:szCs w:val="32"/>
        </w:rPr>
      </w:pPr>
    </w:p>
    <w:p>
      <w:pPr>
        <w:autoSpaceDE w:val="0"/>
        <w:autoSpaceDN w:val="0"/>
        <w:adjustRightInd w:val="0"/>
        <w:jc w:val="left"/>
        <w:rPr>
          <w:rFonts w:hint="eastAsia" w:ascii="Times New Roman" w:hAnsi="Times New Roman" w:eastAsia="仿宋" w:cs="Times New Roman"/>
          <w:b/>
          <w:color w:val="auto"/>
          <w:sz w:val="32"/>
          <w:szCs w:val="32"/>
        </w:rPr>
      </w:pPr>
    </w:p>
    <w:p>
      <w:pPr>
        <w:autoSpaceDE w:val="0"/>
        <w:autoSpaceDN w:val="0"/>
        <w:adjustRightInd w:val="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eastAsia="方正小标宋_GBK"/>
          <w:color w:val="auto"/>
          <w:sz w:val="32"/>
        </w:rPr>
      </w:pPr>
      <w:bookmarkStart w:id="1" w:name="_Toc503971524"/>
      <w:r>
        <w:rPr>
          <w:rFonts w:hint="eastAsia" w:ascii="方正小标宋_GBK" w:eastAsia="方正小标宋_GBK"/>
          <w:color w:val="auto"/>
          <w:sz w:val="32"/>
        </w:rPr>
        <w:t>部门职责-工作活动绩效目标</w:t>
      </w:r>
      <w:bookmarkEnd w:id="1"/>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9"/>
        <w:gridCol w:w="1276"/>
        <w:gridCol w:w="2976"/>
        <w:gridCol w:w="9"/>
        <w:gridCol w:w="2967"/>
        <w:gridCol w:w="18"/>
        <w:gridCol w:w="1380"/>
        <w:gridCol w:w="19"/>
        <w:gridCol w:w="731"/>
        <w:gridCol w:w="6"/>
        <w:gridCol w:w="737"/>
        <w:gridCol w:w="7"/>
        <w:gridCol w:w="720"/>
        <w:gridCol w:w="10"/>
        <w:gridCol w:w="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4" w:type="dxa"/>
            <w:gridSpan w:val="8"/>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451</w:t>
            </w:r>
            <w:r>
              <w:rPr>
                <w:rFonts w:hint="eastAsia" w:ascii="方正小标宋_GBK" w:eastAsia="方正小标宋_GBK"/>
                <w:color w:val="auto"/>
                <w:sz w:val="24"/>
              </w:rPr>
              <w:t>曲阳县公安局交通管理大队</w:t>
            </w:r>
          </w:p>
        </w:tc>
        <w:tc>
          <w:tcPr>
            <w:tcW w:w="2950"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39"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gridSpan w:val="2"/>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gridSpan w:val="3"/>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50" w:type="dxa"/>
            <w:gridSpan w:val="7"/>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39" w:type="dxa"/>
            <w:vMerge w:val="continue"/>
            <w:vAlign w:val="center"/>
          </w:tcPr>
          <w:p>
            <w:pPr>
              <w:spacing w:line="300" w:lineRule="exact"/>
              <w:jc w:val="left"/>
              <w:outlineLvl w:val="0"/>
              <w:rPr>
                <w:color w:val="auto"/>
              </w:rPr>
            </w:pPr>
          </w:p>
        </w:tc>
        <w:tc>
          <w:tcPr>
            <w:tcW w:w="1276" w:type="dxa"/>
            <w:vMerge w:val="continue"/>
            <w:vAlign w:val="center"/>
          </w:tcPr>
          <w:p>
            <w:pPr>
              <w:spacing w:line="300" w:lineRule="exact"/>
              <w:jc w:val="left"/>
              <w:outlineLvl w:val="0"/>
              <w:rPr>
                <w:color w:val="auto"/>
              </w:rPr>
            </w:pPr>
          </w:p>
        </w:tc>
        <w:tc>
          <w:tcPr>
            <w:tcW w:w="2976" w:type="dxa"/>
            <w:vMerge w:val="continue"/>
            <w:vAlign w:val="center"/>
          </w:tcPr>
          <w:p>
            <w:pPr>
              <w:spacing w:line="300" w:lineRule="exact"/>
              <w:jc w:val="left"/>
              <w:outlineLvl w:val="0"/>
              <w:rPr>
                <w:color w:val="auto"/>
              </w:rPr>
            </w:pPr>
          </w:p>
        </w:tc>
        <w:tc>
          <w:tcPr>
            <w:tcW w:w="2976" w:type="dxa"/>
            <w:gridSpan w:val="2"/>
            <w:vMerge w:val="continue"/>
            <w:vAlign w:val="center"/>
          </w:tcPr>
          <w:p>
            <w:pPr>
              <w:spacing w:line="300" w:lineRule="exact"/>
              <w:jc w:val="left"/>
              <w:outlineLvl w:val="0"/>
              <w:rPr>
                <w:color w:val="auto"/>
              </w:rPr>
            </w:pPr>
          </w:p>
        </w:tc>
        <w:tc>
          <w:tcPr>
            <w:tcW w:w="1417" w:type="dxa"/>
            <w:gridSpan w:val="3"/>
            <w:vMerge w:val="continue"/>
            <w:vAlign w:val="center"/>
          </w:tcPr>
          <w:p>
            <w:pPr>
              <w:spacing w:line="300" w:lineRule="exact"/>
              <w:jc w:val="left"/>
              <w:outlineLvl w:val="0"/>
              <w:rPr>
                <w:color w:val="auto"/>
              </w:rPr>
            </w:pPr>
          </w:p>
        </w:tc>
        <w:tc>
          <w:tcPr>
            <w:tcW w:w="737" w:type="dxa"/>
            <w:gridSpan w:val="2"/>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gridSpan w:val="3"/>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9"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56" w:hRule="atLeast"/>
          <w:jc w:val="center"/>
        </w:trPr>
        <w:tc>
          <w:tcPr>
            <w:tcW w:w="2339"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一、道路交通管理</w:t>
            </w:r>
          </w:p>
        </w:tc>
        <w:tc>
          <w:tcPr>
            <w:tcW w:w="12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968.38</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根据《中华人民共和国道路交通安全法》有关规定，对国省道、高速公路、县乡道路实行统一科学管理，确保道路交通安全畅通、高效便捷。</w:t>
            </w:r>
          </w:p>
        </w:tc>
        <w:tc>
          <w:tcPr>
            <w:tcW w:w="297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保障道路交通安全、畅通、有序，为全省经济社会发展提供良好的道路交通环境。</w:t>
            </w:r>
          </w:p>
        </w:tc>
        <w:tc>
          <w:tcPr>
            <w:tcW w:w="1417" w:type="dxa"/>
            <w:gridSpan w:val="3"/>
            <w:vAlign w:val="center"/>
          </w:tcPr>
          <w:p>
            <w:pPr>
              <w:spacing w:line="300" w:lineRule="exact"/>
              <w:jc w:val="left"/>
              <w:rPr>
                <w:rFonts w:ascii="方正书宋_GBK" w:eastAsia="方正书宋_GBK"/>
                <w:color w:val="auto"/>
              </w:rPr>
            </w:pPr>
          </w:p>
        </w:tc>
        <w:tc>
          <w:tcPr>
            <w:tcW w:w="737" w:type="dxa"/>
            <w:gridSpan w:val="2"/>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gridSpan w:val="3"/>
            <w:vAlign w:val="center"/>
          </w:tcPr>
          <w:p>
            <w:pPr>
              <w:spacing w:line="300" w:lineRule="exact"/>
              <w:jc w:val="center"/>
              <w:rPr>
                <w:rFonts w:ascii="方正书宋_GBK" w:eastAsia="方正书宋_GBK"/>
                <w:color w:val="auto"/>
              </w:rPr>
            </w:pPr>
          </w:p>
        </w:tc>
        <w:tc>
          <w:tcPr>
            <w:tcW w:w="739"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39"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、道路交通秩序管理</w:t>
            </w:r>
          </w:p>
        </w:tc>
        <w:tc>
          <w:tcPr>
            <w:tcW w:w="12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715.76</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实施新型城镇化建设畅通工程，制定城市道路中长期发展规划，加大城市道路监控系统和道路安全设施建设，推进公路巡警中队建设，执行暑期及两会安保任务。</w:t>
            </w:r>
          </w:p>
        </w:tc>
        <w:tc>
          <w:tcPr>
            <w:tcW w:w="2976" w:type="dxa"/>
            <w:gridSpan w:val="2"/>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维护全省良好的道路交通秩序，缓解城市交通拥堵，提高道路通行能力；加强公路巡警中队建设，提升道路交通秩序管理水平。</w:t>
            </w:r>
          </w:p>
        </w:tc>
        <w:tc>
          <w:tcPr>
            <w:tcW w:w="1417"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常发拥堵路段数降低率</w:t>
            </w:r>
          </w:p>
        </w:tc>
        <w:tc>
          <w:tcPr>
            <w:tcW w:w="737" w:type="dxa"/>
            <w:gridSpan w:val="2"/>
            <w:vAlign w:val="center"/>
          </w:tcPr>
          <w:p>
            <w:pPr>
              <w:spacing w:line="300" w:lineRule="exact"/>
              <w:jc w:val="center"/>
              <w:rPr>
                <w:rFonts w:ascii="方正书宋_GBK" w:eastAsia="方正书宋_GBK"/>
                <w:color w:val="auto"/>
              </w:rPr>
            </w:pPr>
            <w:r>
              <w:rPr>
                <w:rFonts w:hint="eastAsia"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≥80%</w:t>
            </w:r>
          </w:p>
        </w:tc>
        <w:tc>
          <w:tcPr>
            <w:tcW w:w="737" w:type="dxa"/>
            <w:gridSpan w:val="3"/>
            <w:vAlign w:val="center"/>
          </w:tcPr>
          <w:p>
            <w:pPr>
              <w:spacing w:line="300" w:lineRule="exact"/>
              <w:jc w:val="center"/>
              <w:rPr>
                <w:rFonts w:ascii="方正书宋_GBK" w:eastAsia="方正书宋_GBK"/>
                <w:color w:val="auto"/>
              </w:rPr>
            </w:pPr>
            <w:r>
              <w:rPr>
                <w:rFonts w:hint="eastAsia" w:ascii="方正书宋_GBK" w:eastAsia="方正书宋_GBK"/>
                <w:color w:val="auto"/>
              </w:rPr>
              <w:t>≥75%</w:t>
            </w:r>
          </w:p>
        </w:tc>
        <w:tc>
          <w:tcPr>
            <w:tcW w:w="739"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gridSpan w:val="2"/>
            <w:vMerge w:val="continue"/>
            <w:vAlign w:val="center"/>
          </w:tcPr>
          <w:p>
            <w:pPr>
              <w:spacing w:line="300" w:lineRule="exact"/>
              <w:jc w:val="left"/>
              <w:rPr>
                <w:rFonts w:ascii="方正书宋_GBK" w:eastAsia="方正书宋_GBK"/>
                <w:color w:val="auto"/>
              </w:rPr>
            </w:pPr>
          </w:p>
        </w:tc>
        <w:tc>
          <w:tcPr>
            <w:tcW w:w="1417"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交通拥堵路段里程缓解率</w:t>
            </w:r>
          </w:p>
        </w:tc>
        <w:tc>
          <w:tcPr>
            <w:tcW w:w="737" w:type="dxa"/>
            <w:gridSpan w:val="2"/>
            <w:vAlign w:val="center"/>
          </w:tcPr>
          <w:p>
            <w:pPr>
              <w:spacing w:line="300" w:lineRule="exact"/>
              <w:jc w:val="center"/>
              <w:rPr>
                <w:rFonts w:ascii="方正书宋_GBK" w:eastAsia="方正书宋_GBK"/>
                <w:color w:val="auto"/>
              </w:rPr>
            </w:pPr>
            <w:r>
              <w:rPr>
                <w:rFonts w:hint="eastAsia" w:ascii="方正书宋_GBK" w:eastAsia="方正书宋_GBK"/>
                <w:color w:val="auto"/>
              </w:rPr>
              <w:t>≥98%</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≥95%</w:t>
            </w:r>
          </w:p>
        </w:tc>
        <w:tc>
          <w:tcPr>
            <w:tcW w:w="737" w:type="dxa"/>
            <w:gridSpan w:val="3"/>
            <w:vAlign w:val="center"/>
          </w:tcPr>
          <w:p>
            <w:pPr>
              <w:spacing w:line="300" w:lineRule="exact"/>
              <w:jc w:val="center"/>
              <w:rPr>
                <w:rFonts w:ascii="方正书宋_GBK" w:eastAsia="方正书宋_GBK"/>
                <w:color w:val="auto"/>
              </w:rPr>
            </w:pPr>
            <w:r>
              <w:rPr>
                <w:rFonts w:hint="eastAsia" w:ascii="方正书宋_GBK" w:eastAsia="方正书宋_GBK"/>
                <w:color w:val="auto"/>
              </w:rPr>
              <w:t>≥90%</w:t>
            </w:r>
          </w:p>
        </w:tc>
        <w:tc>
          <w:tcPr>
            <w:tcW w:w="739"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gridSpan w:val="2"/>
            <w:vMerge w:val="continue"/>
            <w:vAlign w:val="center"/>
          </w:tcPr>
          <w:p>
            <w:pPr>
              <w:spacing w:line="300" w:lineRule="exact"/>
              <w:jc w:val="left"/>
              <w:rPr>
                <w:rFonts w:ascii="方正书宋_GBK" w:eastAsia="方正书宋_GBK"/>
                <w:color w:val="auto"/>
              </w:rPr>
            </w:pPr>
          </w:p>
        </w:tc>
        <w:tc>
          <w:tcPr>
            <w:tcW w:w="1417"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巡警警力覆盖率</w:t>
            </w:r>
          </w:p>
        </w:tc>
        <w:tc>
          <w:tcPr>
            <w:tcW w:w="737" w:type="dxa"/>
            <w:gridSpan w:val="2"/>
            <w:vAlign w:val="center"/>
          </w:tcPr>
          <w:p>
            <w:pPr>
              <w:spacing w:line="300" w:lineRule="exact"/>
              <w:jc w:val="center"/>
              <w:rPr>
                <w:rFonts w:ascii="方正书宋_GBK" w:eastAsia="方正书宋_GBK"/>
                <w:color w:val="auto"/>
              </w:rPr>
            </w:pPr>
            <w:r>
              <w:rPr>
                <w:rFonts w:hint="eastAsia"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≥90%</w:t>
            </w:r>
          </w:p>
        </w:tc>
        <w:tc>
          <w:tcPr>
            <w:tcW w:w="737" w:type="dxa"/>
            <w:gridSpan w:val="3"/>
            <w:vAlign w:val="center"/>
          </w:tcPr>
          <w:p>
            <w:pPr>
              <w:spacing w:line="300" w:lineRule="exact"/>
              <w:jc w:val="center"/>
              <w:rPr>
                <w:rFonts w:ascii="方正书宋_GBK" w:eastAsia="方正书宋_GBK"/>
                <w:color w:val="auto"/>
              </w:rPr>
            </w:pPr>
            <w:r>
              <w:rPr>
                <w:rFonts w:hint="eastAsia" w:ascii="方正书宋_GBK" w:eastAsia="方正书宋_GBK"/>
                <w:color w:val="auto"/>
              </w:rPr>
              <w:t>≥85%</w:t>
            </w:r>
          </w:p>
        </w:tc>
        <w:tc>
          <w:tcPr>
            <w:tcW w:w="739"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4"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gridSpan w:val="2"/>
            <w:vMerge w:val="continue"/>
            <w:vAlign w:val="center"/>
          </w:tcPr>
          <w:p>
            <w:pPr>
              <w:spacing w:line="300" w:lineRule="exact"/>
              <w:jc w:val="left"/>
              <w:rPr>
                <w:rFonts w:ascii="方正书宋_GBK" w:eastAsia="方正书宋_GBK"/>
                <w:color w:val="auto"/>
              </w:rPr>
            </w:pPr>
          </w:p>
        </w:tc>
        <w:tc>
          <w:tcPr>
            <w:tcW w:w="1417"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交通拥堵持续时间减低率</w:t>
            </w:r>
          </w:p>
        </w:tc>
        <w:tc>
          <w:tcPr>
            <w:tcW w:w="737" w:type="dxa"/>
            <w:gridSpan w:val="2"/>
            <w:vAlign w:val="center"/>
          </w:tcPr>
          <w:p>
            <w:pPr>
              <w:spacing w:line="300" w:lineRule="exact"/>
              <w:jc w:val="center"/>
              <w:rPr>
                <w:rFonts w:ascii="方正书宋_GBK" w:eastAsia="方正书宋_GBK"/>
                <w:color w:val="auto"/>
              </w:rPr>
            </w:pPr>
            <w:r>
              <w:rPr>
                <w:rFonts w:hint="eastAsia"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≥85%</w:t>
            </w:r>
          </w:p>
        </w:tc>
        <w:tc>
          <w:tcPr>
            <w:tcW w:w="737" w:type="dxa"/>
            <w:gridSpan w:val="3"/>
            <w:vAlign w:val="center"/>
          </w:tcPr>
          <w:p>
            <w:pPr>
              <w:spacing w:line="300" w:lineRule="exact"/>
              <w:jc w:val="center"/>
              <w:rPr>
                <w:rFonts w:ascii="方正书宋_GBK" w:eastAsia="方正书宋_GBK"/>
                <w:color w:val="auto"/>
              </w:rPr>
            </w:pPr>
            <w:r>
              <w:rPr>
                <w:rFonts w:hint="eastAsia" w:ascii="方正书宋_GBK" w:eastAsia="方正书宋_GBK"/>
                <w:color w:val="auto"/>
              </w:rPr>
              <w:t>≥80%</w:t>
            </w:r>
          </w:p>
        </w:tc>
        <w:tc>
          <w:tcPr>
            <w:tcW w:w="739"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0" w:hRule="atLeast"/>
          <w:jc w:val="center"/>
        </w:trPr>
        <w:tc>
          <w:tcPr>
            <w:tcW w:w="2339"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、道路交通事故处理与预防</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组织处理道路交通事故和重大交通事故肇事逃逸案件的查缉侦破；对疑难交通事故责任认定进行审核；组织开展事故分析研判和预防对策的研究及隐患排查等预防工作；妥善处理由交通事故引发的信访工作。</w:t>
            </w:r>
          </w:p>
        </w:tc>
        <w:tc>
          <w:tcPr>
            <w:tcW w:w="2976" w:type="dxa"/>
            <w:gridSpan w:val="2"/>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提高全省交通事故处理工作规范化、科学化水平，让群众在每起案件中都感受到公平正义，努力实现</w:t>
            </w:r>
            <w:r>
              <w:rPr>
                <w:rFonts w:hint="cs" w:ascii="方正书宋_GBK" w:eastAsia="方正书宋_GBK"/>
                <w:color w:val="auto"/>
              </w:rPr>
              <w:t>“</w:t>
            </w:r>
            <w:r>
              <w:rPr>
                <w:rFonts w:hint="eastAsia" w:ascii="方正书宋_GBK" w:eastAsia="方正书宋_GBK"/>
                <w:color w:val="auto"/>
              </w:rPr>
              <w:t>事故少、秩序好、道路畅通、群众满意</w:t>
            </w:r>
            <w:r>
              <w:rPr>
                <w:rFonts w:hint="cs" w:ascii="方正书宋_GBK" w:eastAsia="方正书宋_GBK"/>
                <w:color w:val="auto"/>
              </w:rPr>
              <w:t>”</w:t>
            </w:r>
            <w:r>
              <w:rPr>
                <w:rFonts w:hint="eastAsia" w:ascii="方正书宋_GBK" w:eastAsia="方正书宋_GBK"/>
                <w:color w:val="auto"/>
              </w:rPr>
              <w:t>的总体工作目标。</w:t>
            </w:r>
          </w:p>
        </w:tc>
        <w:tc>
          <w:tcPr>
            <w:tcW w:w="1417" w:type="dxa"/>
            <w:gridSpan w:val="3"/>
            <w:tcBorders>
              <w:bottom w:val="single" w:color="auto" w:sz="4"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rPr>
              <w:t>交通事故处理办结率</w:t>
            </w:r>
          </w:p>
        </w:tc>
        <w:tc>
          <w:tcPr>
            <w:tcW w:w="737" w:type="dxa"/>
            <w:gridSpan w:val="2"/>
            <w:tcBorders>
              <w:bottom w:val="single" w:color="auto" w:sz="4" w:space="0"/>
            </w:tcBorders>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tcBorders>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gridSpan w:val="3"/>
            <w:tcBorders>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9" w:type="dxa"/>
            <w:tcBorders>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0"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gridSpan w:val="2"/>
            <w:vMerge w:val="continue"/>
            <w:vAlign w:val="center"/>
          </w:tcPr>
          <w:p>
            <w:pPr>
              <w:spacing w:line="300" w:lineRule="exact"/>
              <w:jc w:val="left"/>
              <w:rPr>
                <w:rFonts w:ascii="方正书宋_GBK" w:eastAsia="方正书宋_GBK"/>
                <w:color w:val="auto"/>
              </w:rPr>
            </w:pPr>
          </w:p>
        </w:tc>
        <w:tc>
          <w:tcPr>
            <w:tcW w:w="1417" w:type="dxa"/>
            <w:gridSpan w:val="3"/>
            <w:tcBorders>
              <w:top w:val="single" w:color="auto" w:sz="4" w:space="0"/>
              <w:bottom w:val="single" w:color="auto" w:sz="4"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rPr>
              <w:t>信访案件办结率</w:t>
            </w:r>
          </w:p>
        </w:tc>
        <w:tc>
          <w:tcPr>
            <w:tcW w:w="737" w:type="dxa"/>
            <w:gridSpan w:val="2"/>
            <w:tcBorders>
              <w:top w:val="single" w:color="auto" w:sz="4" w:space="0"/>
              <w:bottom w:val="single" w:color="auto" w:sz="4" w:space="0"/>
            </w:tcBorders>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tcBorders>
              <w:top w:val="single" w:color="auto" w:sz="4" w:space="0"/>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gridSpan w:val="3"/>
            <w:tcBorders>
              <w:top w:val="single" w:color="auto" w:sz="4" w:space="0"/>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9" w:type="dxa"/>
            <w:tcBorders>
              <w:top w:val="single" w:color="auto" w:sz="4" w:space="0"/>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0"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gridSpan w:val="2"/>
            <w:vMerge w:val="continue"/>
            <w:vAlign w:val="center"/>
          </w:tcPr>
          <w:p>
            <w:pPr>
              <w:spacing w:line="300" w:lineRule="exact"/>
              <w:jc w:val="left"/>
              <w:rPr>
                <w:rFonts w:ascii="方正书宋_GBK" w:eastAsia="方正书宋_GBK"/>
                <w:color w:val="auto"/>
              </w:rPr>
            </w:pPr>
          </w:p>
        </w:tc>
        <w:tc>
          <w:tcPr>
            <w:tcW w:w="1417" w:type="dxa"/>
            <w:gridSpan w:val="3"/>
            <w:tcBorders>
              <w:top w:val="single" w:color="auto" w:sz="4" w:space="0"/>
              <w:bottom w:val="single" w:color="auto" w:sz="4"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rPr>
              <w:t>交通肇事逃逸案件侦破率</w:t>
            </w:r>
          </w:p>
        </w:tc>
        <w:tc>
          <w:tcPr>
            <w:tcW w:w="737" w:type="dxa"/>
            <w:gridSpan w:val="2"/>
            <w:tcBorders>
              <w:top w:val="single" w:color="auto" w:sz="4" w:space="0"/>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tcBorders>
              <w:top w:val="single" w:color="auto" w:sz="4" w:space="0"/>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gridSpan w:val="3"/>
            <w:tcBorders>
              <w:top w:val="single" w:color="auto" w:sz="4" w:space="0"/>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9" w:type="dxa"/>
            <w:tcBorders>
              <w:top w:val="single" w:color="auto" w:sz="4" w:space="0"/>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15"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gridSpan w:val="2"/>
            <w:vMerge w:val="continue"/>
            <w:vAlign w:val="center"/>
          </w:tcPr>
          <w:p>
            <w:pPr>
              <w:spacing w:line="300" w:lineRule="exact"/>
              <w:jc w:val="left"/>
              <w:rPr>
                <w:rFonts w:ascii="方正书宋_GBK" w:eastAsia="方正书宋_GBK"/>
                <w:color w:val="auto"/>
              </w:rPr>
            </w:pPr>
          </w:p>
        </w:tc>
        <w:tc>
          <w:tcPr>
            <w:tcW w:w="1417" w:type="dxa"/>
            <w:gridSpan w:val="3"/>
            <w:tcBorders>
              <w:top w:val="single" w:color="auto" w:sz="4"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rPr>
              <w:t>交通事故下降率</w:t>
            </w:r>
          </w:p>
        </w:tc>
        <w:tc>
          <w:tcPr>
            <w:tcW w:w="737" w:type="dxa"/>
            <w:gridSpan w:val="2"/>
            <w:tcBorders>
              <w:top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30%</w:t>
            </w:r>
          </w:p>
        </w:tc>
        <w:tc>
          <w:tcPr>
            <w:tcW w:w="737" w:type="dxa"/>
            <w:tcBorders>
              <w:top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20%</w:t>
            </w:r>
          </w:p>
        </w:tc>
        <w:tc>
          <w:tcPr>
            <w:tcW w:w="737" w:type="dxa"/>
            <w:gridSpan w:val="3"/>
            <w:tcBorders>
              <w:top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w:t>
            </w:r>
          </w:p>
        </w:tc>
        <w:tc>
          <w:tcPr>
            <w:tcW w:w="739" w:type="dxa"/>
            <w:tcBorders>
              <w:top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39" w:type="dxa"/>
            <w:vMerge w:val="restart"/>
            <w:vAlign w:val="center"/>
          </w:tcPr>
          <w:p>
            <w:pPr>
              <w:spacing w:line="300" w:lineRule="exact"/>
              <w:jc w:val="left"/>
              <w:rPr>
                <w:rFonts w:ascii="方正书宋_GBK" w:eastAsia="方正书宋_GBK"/>
                <w:b/>
                <w:color w:val="auto"/>
              </w:rPr>
            </w:pPr>
          </w:p>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、运输主体源头监管</w:t>
            </w:r>
          </w:p>
        </w:tc>
        <w:tc>
          <w:tcPr>
            <w:tcW w:w="1276" w:type="dxa"/>
            <w:vMerge w:val="restart"/>
            <w:vAlign w:val="center"/>
          </w:tcPr>
          <w:p>
            <w:pPr>
              <w:spacing w:line="300" w:lineRule="exact"/>
              <w:jc w:val="left"/>
              <w:rPr>
                <w:rFonts w:ascii="方正书宋_GBK" w:eastAsia="方正书宋_GBK"/>
                <w:color w:val="auto"/>
              </w:rPr>
            </w:pPr>
          </w:p>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开展源头监管的信息研判工作，对道路交通安全责任单位进行监管，通过监管平台，加大对重点车辆和驾驶人的监管力度。</w:t>
            </w:r>
          </w:p>
        </w:tc>
        <w:tc>
          <w:tcPr>
            <w:tcW w:w="2976" w:type="dxa"/>
            <w:gridSpan w:val="2"/>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通过对客货运输企业和职业驾驶人的源头监管，有效预防和杜绝重特大交通事故的发生。</w:t>
            </w:r>
          </w:p>
        </w:tc>
        <w:tc>
          <w:tcPr>
            <w:tcW w:w="1417"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重特大交通事故减低率</w:t>
            </w:r>
          </w:p>
        </w:tc>
        <w:tc>
          <w:tcPr>
            <w:tcW w:w="737" w:type="dxa"/>
            <w:gridSpan w:val="2"/>
            <w:vAlign w:val="center"/>
          </w:tcPr>
          <w:p>
            <w:pPr>
              <w:spacing w:line="300" w:lineRule="exact"/>
              <w:jc w:val="center"/>
              <w:rPr>
                <w:rFonts w:ascii="方正书宋_GBK" w:eastAsia="方正书宋_GBK"/>
                <w:color w:val="auto"/>
              </w:rPr>
            </w:pPr>
            <w:r>
              <w:rPr>
                <w:rFonts w:hint="eastAsia" w:ascii="方正书宋_GBK" w:eastAsia="方正书宋_GBK"/>
                <w:color w:val="auto"/>
              </w:rPr>
              <w:t>≥10%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≥8%</w:t>
            </w:r>
          </w:p>
        </w:tc>
        <w:tc>
          <w:tcPr>
            <w:tcW w:w="737" w:type="dxa"/>
            <w:gridSpan w:val="3"/>
            <w:vAlign w:val="center"/>
          </w:tcPr>
          <w:p>
            <w:pPr>
              <w:spacing w:line="300" w:lineRule="exact"/>
              <w:jc w:val="center"/>
              <w:rPr>
                <w:rFonts w:ascii="方正书宋_GBK" w:eastAsia="方正书宋_GBK"/>
                <w:color w:val="auto"/>
              </w:rPr>
            </w:pPr>
            <w:r>
              <w:rPr>
                <w:rFonts w:hint="eastAsia" w:ascii="方正书宋_GBK" w:eastAsia="方正书宋_GBK"/>
                <w:color w:val="auto"/>
              </w:rPr>
              <w:t>≥5%</w:t>
            </w:r>
          </w:p>
        </w:tc>
        <w:tc>
          <w:tcPr>
            <w:tcW w:w="739"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gridSpan w:val="2"/>
            <w:vMerge w:val="continue"/>
            <w:vAlign w:val="center"/>
          </w:tcPr>
          <w:p>
            <w:pPr>
              <w:spacing w:line="300" w:lineRule="exact"/>
              <w:jc w:val="left"/>
              <w:rPr>
                <w:rFonts w:ascii="方正书宋_GBK" w:eastAsia="方正书宋_GBK"/>
                <w:color w:val="auto"/>
              </w:rPr>
            </w:pPr>
          </w:p>
        </w:tc>
        <w:tc>
          <w:tcPr>
            <w:tcW w:w="1417" w:type="dxa"/>
            <w:gridSpan w:val="3"/>
            <w:tcBorders>
              <w:bottom w:val="single" w:color="auto" w:sz="4" w:space="0"/>
            </w:tcBorders>
            <w:vAlign w:val="center"/>
          </w:tcPr>
          <w:p>
            <w:pPr>
              <w:spacing w:line="300" w:lineRule="exact"/>
              <w:jc w:val="left"/>
              <w:rPr>
                <w:rFonts w:ascii="方正书宋_GBK" w:eastAsia="方正书宋_GBK"/>
                <w:color w:val="auto"/>
              </w:rPr>
            </w:pPr>
            <w:r>
              <w:rPr>
                <w:rFonts w:hint="cs" w:ascii="方正书宋_GBK" w:eastAsia="方正书宋_GBK"/>
                <w:color w:val="auto"/>
              </w:rPr>
              <w:t>“</w:t>
            </w:r>
            <w:r>
              <w:rPr>
                <w:rFonts w:hint="eastAsia" w:ascii="方正书宋_GBK" w:eastAsia="方正书宋_GBK"/>
                <w:color w:val="auto"/>
              </w:rPr>
              <w:t>两客一危</w:t>
            </w:r>
            <w:r>
              <w:rPr>
                <w:rFonts w:hint="cs" w:ascii="方正书宋_GBK" w:eastAsia="方正书宋_GBK"/>
                <w:color w:val="auto"/>
              </w:rPr>
              <w:t>”</w:t>
            </w:r>
            <w:r>
              <w:rPr>
                <w:rFonts w:hint="eastAsia" w:ascii="方正书宋_GBK" w:eastAsia="方正书宋_GBK"/>
                <w:color w:val="auto"/>
              </w:rPr>
              <w:t>运输企业监管覆盖率</w:t>
            </w:r>
          </w:p>
        </w:tc>
        <w:tc>
          <w:tcPr>
            <w:tcW w:w="737" w:type="dxa"/>
            <w:gridSpan w:val="2"/>
            <w:tcBorders>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tcBorders>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gridSpan w:val="3"/>
            <w:tcBorders>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9" w:type="dxa"/>
            <w:tcBorders>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0" w:hRule="atLeast"/>
          <w:jc w:val="center"/>
        </w:trPr>
        <w:tc>
          <w:tcPr>
            <w:tcW w:w="2339"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、道路交通指挥调度管理</w:t>
            </w:r>
          </w:p>
        </w:tc>
        <w:tc>
          <w:tcPr>
            <w:tcW w:w="12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252.62</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完善总队、市、县三级指挥中心建设，制定协调联动及各种应急预案，加强路面监控和值班备勤管理。</w:t>
            </w:r>
          </w:p>
        </w:tc>
        <w:tc>
          <w:tcPr>
            <w:tcW w:w="2976" w:type="dxa"/>
            <w:gridSpan w:val="2"/>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缓解城镇拥堵，城镇交通混乱，减少主要路段交通事故。</w:t>
            </w:r>
          </w:p>
        </w:tc>
        <w:tc>
          <w:tcPr>
            <w:tcW w:w="1417" w:type="dxa"/>
            <w:gridSpan w:val="3"/>
            <w:tcBorders>
              <w:bottom w:val="single" w:color="auto" w:sz="4"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rPr>
              <w:t>交通事故、应急事项指挥处置及时率</w:t>
            </w:r>
          </w:p>
        </w:tc>
        <w:tc>
          <w:tcPr>
            <w:tcW w:w="737" w:type="dxa"/>
            <w:gridSpan w:val="2"/>
            <w:tcBorders>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tcBorders>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gridSpan w:val="3"/>
            <w:tcBorders>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20%</w:t>
            </w:r>
          </w:p>
        </w:tc>
        <w:tc>
          <w:tcPr>
            <w:tcW w:w="739" w:type="dxa"/>
            <w:tcBorders>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5"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gridSpan w:val="2"/>
            <w:vMerge w:val="continue"/>
            <w:vAlign w:val="center"/>
          </w:tcPr>
          <w:p>
            <w:pPr>
              <w:spacing w:line="300" w:lineRule="exact"/>
              <w:jc w:val="left"/>
              <w:rPr>
                <w:rFonts w:ascii="方正书宋_GBK" w:eastAsia="方正书宋_GBK"/>
                <w:color w:val="auto"/>
              </w:rPr>
            </w:pPr>
          </w:p>
        </w:tc>
        <w:tc>
          <w:tcPr>
            <w:tcW w:w="1417" w:type="dxa"/>
            <w:gridSpan w:val="3"/>
            <w:tcBorders>
              <w:top w:val="single" w:color="auto" w:sz="4"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rPr>
              <w:t>路口、主要路段视频监控率</w:t>
            </w:r>
          </w:p>
        </w:tc>
        <w:tc>
          <w:tcPr>
            <w:tcW w:w="737" w:type="dxa"/>
            <w:gridSpan w:val="2"/>
            <w:tcBorders>
              <w:top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tcBorders>
              <w:top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gridSpan w:val="3"/>
            <w:tcBorders>
              <w:top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20%</w:t>
            </w:r>
          </w:p>
        </w:tc>
        <w:tc>
          <w:tcPr>
            <w:tcW w:w="739" w:type="dxa"/>
            <w:tcBorders>
              <w:top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100" w:hRule="atLeast"/>
          <w:jc w:val="center"/>
        </w:trPr>
        <w:tc>
          <w:tcPr>
            <w:tcW w:w="2339"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二、车辆和驾驶人管理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根据《中华人民共和国道路交通安全法》有关规定，依法对交通参与的主体机动车和驾驶人实施有效监管，确保人民群众安全出行和社会生活安定。</w:t>
            </w:r>
          </w:p>
        </w:tc>
        <w:tc>
          <w:tcPr>
            <w:tcW w:w="297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规范机动车登记行为，保护公民、法人和其他组织的合法权益，促进经济、社会发展，保障道路交通安全；促进提高机动车驾驶人安全文明驾驶素质，全力预防和减少重特大道路交通事故。</w:t>
            </w:r>
          </w:p>
        </w:tc>
        <w:tc>
          <w:tcPr>
            <w:tcW w:w="1417" w:type="dxa"/>
            <w:gridSpan w:val="3"/>
            <w:vAlign w:val="center"/>
          </w:tcPr>
          <w:p>
            <w:pPr>
              <w:spacing w:line="300" w:lineRule="exact"/>
              <w:jc w:val="left"/>
              <w:rPr>
                <w:rFonts w:ascii="方正书宋_GBK" w:eastAsia="方正书宋_GBK"/>
                <w:color w:val="auto"/>
              </w:rPr>
            </w:pPr>
          </w:p>
        </w:tc>
        <w:tc>
          <w:tcPr>
            <w:tcW w:w="737" w:type="dxa"/>
            <w:gridSpan w:val="2"/>
            <w:vAlign w:val="center"/>
          </w:tcPr>
          <w:p>
            <w:pPr>
              <w:spacing w:line="300" w:lineRule="exac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gridSpan w:val="3"/>
            <w:vAlign w:val="center"/>
          </w:tcPr>
          <w:p>
            <w:pPr>
              <w:spacing w:line="300" w:lineRule="exact"/>
              <w:jc w:val="center"/>
              <w:rPr>
                <w:rFonts w:ascii="方正书宋_GBK" w:eastAsia="方正书宋_GBK"/>
                <w:color w:val="auto"/>
              </w:rPr>
            </w:pPr>
          </w:p>
        </w:tc>
        <w:tc>
          <w:tcPr>
            <w:tcW w:w="739"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0" w:hRule="atLeast"/>
          <w:jc w:val="center"/>
        </w:trPr>
        <w:tc>
          <w:tcPr>
            <w:tcW w:w="2339" w:type="dxa"/>
            <w:vMerge w:val="restart"/>
            <w:vAlign w:val="center"/>
          </w:tcPr>
          <w:p>
            <w:pPr>
              <w:spacing w:line="300" w:lineRule="exact"/>
              <w:jc w:val="left"/>
              <w:rPr>
                <w:rFonts w:ascii="方正书宋_GBK" w:eastAsia="方正书宋_GBK"/>
                <w:b/>
                <w:color w:val="auto"/>
              </w:rPr>
            </w:pPr>
            <w:r>
              <w:rPr>
                <w:rFonts w:ascii="方正书宋_GBK" w:eastAsia="方正书宋_GBK"/>
                <w:b/>
                <w:color w:val="auto"/>
              </w:rPr>
              <w:t>1</w:t>
            </w:r>
            <w:r>
              <w:rPr>
                <w:rFonts w:hint="eastAsia" w:ascii="方正书宋_GBK" w:eastAsia="方正书宋_GBK"/>
                <w:b/>
                <w:color w:val="auto"/>
              </w:rPr>
              <w:t>、机动车管理</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按照公安部号部令，开展对全省机动车辆的登记管理、档案管理和牌证管理和固封装置安装工作，完善各项便民利民措施。</w:t>
            </w:r>
          </w:p>
        </w:tc>
        <w:tc>
          <w:tcPr>
            <w:tcW w:w="2976" w:type="dxa"/>
            <w:gridSpan w:val="2"/>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掌握全县各类机动车辆的保有量及车辆技术参数和机动车安全技术检验，加大对二手车和报废车的管控力度，确保无故障车上路行驶。</w:t>
            </w:r>
          </w:p>
        </w:tc>
        <w:tc>
          <w:tcPr>
            <w:tcW w:w="1417" w:type="dxa"/>
            <w:gridSpan w:val="3"/>
            <w:tcBorders>
              <w:bottom w:val="single" w:color="auto" w:sz="4"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rPr>
              <w:t>群众满意度</w:t>
            </w:r>
          </w:p>
        </w:tc>
        <w:tc>
          <w:tcPr>
            <w:tcW w:w="737" w:type="dxa"/>
            <w:gridSpan w:val="2"/>
            <w:tcBorders>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tcBorders>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gridSpan w:val="3"/>
            <w:tcBorders>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9" w:type="dxa"/>
            <w:tcBorders>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5"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gridSpan w:val="2"/>
            <w:vMerge w:val="continue"/>
            <w:vAlign w:val="center"/>
          </w:tcPr>
          <w:p>
            <w:pPr>
              <w:spacing w:line="300" w:lineRule="exact"/>
              <w:jc w:val="left"/>
              <w:rPr>
                <w:rFonts w:ascii="方正书宋_GBK" w:eastAsia="方正书宋_GBK"/>
                <w:color w:val="auto"/>
              </w:rPr>
            </w:pPr>
          </w:p>
        </w:tc>
        <w:tc>
          <w:tcPr>
            <w:tcW w:w="1417" w:type="dxa"/>
            <w:gridSpan w:val="3"/>
            <w:tcBorders>
              <w:top w:val="single" w:color="auto" w:sz="4" w:space="0"/>
              <w:bottom w:val="single" w:color="auto" w:sz="4"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rPr>
              <w:t>机动车注册、年检遗漏率</w:t>
            </w:r>
          </w:p>
        </w:tc>
        <w:tc>
          <w:tcPr>
            <w:tcW w:w="737" w:type="dxa"/>
            <w:gridSpan w:val="2"/>
            <w:tcBorders>
              <w:top w:val="single" w:color="auto" w:sz="4" w:space="0"/>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tcBorders>
              <w:top w:val="single" w:color="auto" w:sz="4" w:space="0"/>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gridSpan w:val="3"/>
            <w:tcBorders>
              <w:top w:val="single" w:color="auto" w:sz="4" w:space="0"/>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39" w:type="dxa"/>
            <w:tcBorders>
              <w:top w:val="single" w:color="auto" w:sz="4" w:space="0"/>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5"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gridSpan w:val="2"/>
            <w:vMerge w:val="continue"/>
            <w:vAlign w:val="center"/>
          </w:tcPr>
          <w:p>
            <w:pPr>
              <w:spacing w:line="300" w:lineRule="exact"/>
              <w:jc w:val="left"/>
              <w:rPr>
                <w:rFonts w:ascii="方正书宋_GBK" w:eastAsia="方正书宋_GBK"/>
                <w:color w:val="auto"/>
              </w:rPr>
            </w:pPr>
          </w:p>
        </w:tc>
        <w:tc>
          <w:tcPr>
            <w:tcW w:w="1417" w:type="dxa"/>
            <w:gridSpan w:val="3"/>
            <w:tcBorders>
              <w:top w:val="single" w:color="auto" w:sz="4"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rPr>
              <w:t>互联网平台应用率</w:t>
            </w:r>
          </w:p>
        </w:tc>
        <w:tc>
          <w:tcPr>
            <w:tcW w:w="737" w:type="dxa"/>
            <w:gridSpan w:val="2"/>
            <w:tcBorders>
              <w:top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tcBorders>
              <w:top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gridSpan w:val="3"/>
            <w:tcBorders>
              <w:top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50%</w:t>
            </w:r>
          </w:p>
        </w:tc>
        <w:tc>
          <w:tcPr>
            <w:tcW w:w="739" w:type="dxa"/>
            <w:tcBorders>
              <w:top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39" w:type="dxa"/>
            <w:vMerge w:val="restart"/>
            <w:vAlign w:val="center"/>
          </w:tcPr>
          <w:p>
            <w:pPr>
              <w:spacing w:line="300" w:lineRule="exact"/>
              <w:jc w:val="left"/>
              <w:rPr>
                <w:rFonts w:ascii="方正书宋_GBK" w:eastAsia="方正书宋_GBK"/>
                <w:b/>
                <w:color w:val="auto"/>
              </w:rPr>
            </w:pPr>
            <w:r>
              <w:rPr>
                <w:rFonts w:ascii="方正书宋_GBK" w:eastAsia="方正书宋_GBK"/>
                <w:b/>
                <w:color w:val="auto"/>
              </w:rPr>
              <w:t>2</w:t>
            </w:r>
            <w:r>
              <w:rPr>
                <w:rFonts w:hint="eastAsia" w:ascii="方正书宋_GBK" w:eastAsia="方正书宋_GBK"/>
                <w:b/>
                <w:color w:val="auto"/>
              </w:rPr>
              <w:t>、考试中心建设及管理</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按照公安部要求，完成对驾驶考试各科目考场的新建或规范完善工作。</w:t>
            </w:r>
          </w:p>
        </w:tc>
        <w:tc>
          <w:tcPr>
            <w:tcW w:w="2976" w:type="dxa"/>
            <w:gridSpan w:val="2"/>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规范驾驶人考试工作，加大资金投入建设交警自有的考试场；规范考官监考工作，预防驾驶考试中各类违法违纪的现象发生。</w:t>
            </w:r>
          </w:p>
        </w:tc>
        <w:tc>
          <w:tcPr>
            <w:tcW w:w="1417"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参考学员满意度</w:t>
            </w:r>
          </w:p>
        </w:tc>
        <w:tc>
          <w:tcPr>
            <w:tcW w:w="737" w:type="dxa"/>
            <w:gridSpan w:val="2"/>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gridSpan w:val="3"/>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9"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gridSpan w:val="2"/>
            <w:vMerge w:val="continue"/>
            <w:vAlign w:val="center"/>
          </w:tcPr>
          <w:p>
            <w:pPr>
              <w:spacing w:line="300" w:lineRule="exact"/>
              <w:jc w:val="left"/>
              <w:rPr>
                <w:rFonts w:ascii="方正书宋_GBK" w:eastAsia="方正书宋_GBK"/>
                <w:color w:val="auto"/>
              </w:rPr>
            </w:pPr>
          </w:p>
        </w:tc>
        <w:tc>
          <w:tcPr>
            <w:tcW w:w="1417"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驾驶考试中各类违法违纪现象降低率</w:t>
            </w:r>
          </w:p>
        </w:tc>
        <w:tc>
          <w:tcPr>
            <w:tcW w:w="737" w:type="dxa"/>
            <w:gridSpan w:val="2"/>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gridSpan w:val="3"/>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9"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gridSpan w:val="2"/>
            <w:vMerge w:val="continue"/>
            <w:vAlign w:val="center"/>
          </w:tcPr>
          <w:p>
            <w:pPr>
              <w:spacing w:line="300" w:lineRule="exact"/>
              <w:jc w:val="left"/>
              <w:rPr>
                <w:rFonts w:ascii="方正书宋_GBK" w:eastAsia="方正书宋_GBK"/>
                <w:color w:val="auto"/>
              </w:rPr>
            </w:pPr>
          </w:p>
        </w:tc>
        <w:tc>
          <w:tcPr>
            <w:tcW w:w="1417"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考试中心设施设备故障率</w:t>
            </w:r>
          </w:p>
        </w:tc>
        <w:tc>
          <w:tcPr>
            <w:tcW w:w="737" w:type="dxa"/>
            <w:gridSpan w:val="2"/>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gridSpan w:val="3"/>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39"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45" w:hRule="atLeast"/>
          <w:jc w:val="center"/>
        </w:trPr>
        <w:tc>
          <w:tcPr>
            <w:tcW w:w="2339"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、驾驶人管理</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按照公安部号部令，开展对全省机动车驾驶人的证件和档案管理，组织对初学和违章记满分的驾驶人考试及驾照发放工作，完善便民利民措施。</w:t>
            </w:r>
          </w:p>
        </w:tc>
        <w:tc>
          <w:tcPr>
            <w:tcW w:w="2976" w:type="dxa"/>
            <w:gridSpan w:val="2"/>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掌握全县各类机动车驾驶人底数，杜绝无证驾驶或不按准驾车型驾驶机动车上路等违规现象的发生</w:t>
            </w:r>
          </w:p>
        </w:tc>
        <w:tc>
          <w:tcPr>
            <w:tcW w:w="1417" w:type="dxa"/>
            <w:gridSpan w:val="3"/>
            <w:tcBorders>
              <w:bottom w:val="single" w:color="auto" w:sz="4"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rPr>
              <w:t>驾驶人员注册、年检遗漏率</w:t>
            </w:r>
          </w:p>
        </w:tc>
        <w:tc>
          <w:tcPr>
            <w:tcW w:w="737" w:type="dxa"/>
            <w:gridSpan w:val="2"/>
            <w:tcBorders>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tcBorders>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gridSpan w:val="3"/>
            <w:tcBorders>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39" w:type="dxa"/>
            <w:tcBorders>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85"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gridSpan w:val="2"/>
            <w:vMerge w:val="continue"/>
            <w:vAlign w:val="center"/>
          </w:tcPr>
          <w:p>
            <w:pPr>
              <w:spacing w:line="300" w:lineRule="exact"/>
              <w:jc w:val="left"/>
              <w:rPr>
                <w:rFonts w:ascii="方正书宋_GBK" w:eastAsia="方正书宋_GBK"/>
                <w:color w:val="auto"/>
              </w:rPr>
            </w:pPr>
          </w:p>
        </w:tc>
        <w:tc>
          <w:tcPr>
            <w:tcW w:w="1417" w:type="dxa"/>
            <w:gridSpan w:val="3"/>
            <w:tcBorders>
              <w:top w:val="single" w:color="auto" w:sz="4" w:space="0"/>
              <w:bottom w:val="single" w:color="auto" w:sz="4"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rPr>
              <w:t>交通事故造成的财产损失下降率</w:t>
            </w:r>
          </w:p>
        </w:tc>
        <w:tc>
          <w:tcPr>
            <w:tcW w:w="737" w:type="dxa"/>
            <w:gridSpan w:val="2"/>
            <w:tcBorders>
              <w:top w:val="single" w:color="auto" w:sz="4" w:space="0"/>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tcBorders>
              <w:top w:val="single" w:color="auto" w:sz="4" w:space="0"/>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p>
        </w:tc>
        <w:tc>
          <w:tcPr>
            <w:tcW w:w="737" w:type="dxa"/>
            <w:gridSpan w:val="3"/>
            <w:tcBorders>
              <w:top w:val="single" w:color="auto" w:sz="4" w:space="0"/>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w:t>
            </w:r>
          </w:p>
        </w:tc>
        <w:tc>
          <w:tcPr>
            <w:tcW w:w="739" w:type="dxa"/>
            <w:tcBorders>
              <w:top w:val="single" w:color="auto" w:sz="4" w:space="0"/>
              <w:bottom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94"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gridSpan w:val="2"/>
            <w:vMerge w:val="continue"/>
            <w:vAlign w:val="center"/>
          </w:tcPr>
          <w:p>
            <w:pPr>
              <w:spacing w:line="300" w:lineRule="exact"/>
              <w:jc w:val="left"/>
              <w:rPr>
                <w:rFonts w:ascii="方正书宋_GBK" w:eastAsia="方正书宋_GBK"/>
                <w:color w:val="auto"/>
              </w:rPr>
            </w:pPr>
          </w:p>
        </w:tc>
        <w:tc>
          <w:tcPr>
            <w:tcW w:w="1417" w:type="dxa"/>
            <w:gridSpan w:val="3"/>
            <w:tcBorders>
              <w:top w:val="single" w:color="auto" w:sz="4"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rPr>
              <w:t>驾驶人互联网平台注册率</w:t>
            </w:r>
          </w:p>
        </w:tc>
        <w:tc>
          <w:tcPr>
            <w:tcW w:w="737" w:type="dxa"/>
            <w:gridSpan w:val="2"/>
            <w:tcBorders>
              <w:top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tcBorders>
              <w:top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gridSpan w:val="3"/>
            <w:tcBorders>
              <w:top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20%</w:t>
            </w:r>
          </w:p>
        </w:tc>
        <w:tc>
          <w:tcPr>
            <w:tcW w:w="739" w:type="dxa"/>
            <w:tcBorders>
              <w:top w:val="single" w:color="auto" w:sz="4" w:space="0"/>
            </w:tcBorders>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39"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、业务网络监管</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通过机动车和驾驶证管理系统、驾驶人考试监管系统、机动车查验监管系统、号牌管理监管系统对车驾管业务进行监管。</w:t>
            </w:r>
          </w:p>
        </w:tc>
        <w:tc>
          <w:tcPr>
            <w:tcW w:w="2976" w:type="dxa"/>
            <w:gridSpan w:val="2"/>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利用监控系统对机动车、驾驶人业务进行监管，防止异常业务、违规业务的发生。</w:t>
            </w:r>
          </w:p>
        </w:tc>
        <w:tc>
          <w:tcPr>
            <w:tcW w:w="1417"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系统录入信息准确率</w:t>
            </w:r>
          </w:p>
        </w:tc>
        <w:tc>
          <w:tcPr>
            <w:tcW w:w="737" w:type="dxa"/>
            <w:gridSpan w:val="2"/>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gridSpan w:val="3"/>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9"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gridSpan w:val="2"/>
            <w:vMerge w:val="continue"/>
            <w:vAlign w:val="center"/>
          </w:tcPr>
          <w:p>
            <w:pPr>
              <w:spacing w:line="300" w:lineRule="exact"/>
              <w:jc w:val="left"/>
              <w:rPr>
                <w:rFonts w:ascii="方正书宋_GBK" w:eastAsia="方正书宋_GBK"/>
                <w:color w:val="auto"/>
              </w:rPr>
            </w:pPr>
          </w:p>
        </w:tc>
        <w:tc>
          <w:tcPr>
            <w:tcW w:w="1417"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提高智能卡口设备应用率</w:t>
            </w:r>
          </w:p>
        </w:tc>
        <w:tc>
          <w:tcPr>
            <w:tcW w:w="737" w:type="dxa"/>
            <w:gridSpan w:val="2"/>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37" w:type="dxa"/>
            <w:gridSpan w:val="3"/>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9"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gridSpan w:val="2"/>
            <w:vMerge w:val="continue"/>
            <w:vAlign w:val="center"/>
          </w:tcPr>
          <w:p>
            <w:pPr>
              <w:spacing w:line="300" w:lineRule="exact"/>
              <w:jc w:val="left"/>
              <w:rPr>
                <w:rFonts w:ascii="方正书宋_GBK" w:eastAsia="方正书宋_GBK"/>
                <w:color w:val="auto"/>
              </w:rPr>
            </w:pPr>
          </w:p>
        </w:tc>
        <w:tc>
          <w:tcPr>
            <w:tcW w:w="1417"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纠正异常业务、违规业务率</w:t>
            </w:r>
          </w:p>
        </w:tc>
        <w:tc>
          <w:tcPr>
            <w:tcW w:w="737" w:type="dxa"/>
            <w:gridSpan w:val="2"/>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gridSpan w:val="3"/>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9"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39" w:type="dxa"/>
            <w:vAlign w:val="center"/>
          </w:tcPr>
          <w:p>
            <w:pPr>
              <w:spacing w:line="300" w:lineRule="exact"/>
              <w:jc w:val="left"/>
              <w:rPr>
                <w:rFonts w:ascii="方正书宋_GBK" w:eastAsia="方正书宋_GBK"/>
                <w:color w:val="auto"/>
              </w:rPr>
            </w:pPr>
            <w:r>
              <w:rPr>
                <w:rFonts w:hint="eastAsia" w:ascii="方正书宋_GBK" w:eastAsia="方正书宋_GBK"/>
                <w:color w:val="auto"/>
              </w:rPr>
              <w:t>　　三、交管政务管理</w:t>
            </w:r>
          </w:p>
        </w:tc>
        <w:tc>
          <w:tcPr>
            <w:tcW w:w="1276" w:type="dxa"/>
            <w:tcBorders>
              <w:right w:val="single" w:color="auto" w:sz="4"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rPr>
              <w:t>57.73</w:t>
            </w:r>
          </w:p>
        </w:tc>
        <w:tc>
          <w:tcPr>
            <w:tcW w:w="2976" w:type="dxa"/>
            <w:tcBorders>
              <w:left w:val="single" w:color="auto" w:sz="4"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rPr>
              <w:t>开展交通法制建设与安全宣传、交警系统行政性收费和经费保障工作、队伍建设工作指导和调研工作，组织、规划交通管理信息化建设与应用、通讯网建设和交通管理信息系统建设推广，开展新技术推广应用工作；做好道路交通事故社会救助基金的统筹、使用、管理、发放和垫付追偿工作。</w:t>
            </w:r>
          </w:p>
        </w:tc>
        <w:tc>
          <w:tcPr>
            <w:tcW w:w="2976" w:type="dxa"/>
            <w:gridSpan w:val="2"/>
            <w:tcBorders>
              <w:right w:val="single" w:color="auto" w:sz="4" w:space="0"/>
            </w:tcBorders>
            <w:vAlign w:val="center"/>
          </w:tcPr>
          <w:p>
            <w:pPr>
              <w:spacing w:line="300" w:lineRule="exact"/>
              <w:jc w:val="left"/>
              <w:rPr>
                <w:rFonts w:ascii="方正书宋_GBK" w:eastAsia="方正书宋_GBK"/>
                <w:color w:val="auto"/>
              </w:rPr>
            </w:pPr>
            <w:r>
              <w:rPr>
                <w:rFonts w:hint="eastAsia" w:ascii="方正书宋_GBK" w:eastAsia="方正书宋_GBK"/>
                <w:color w:val="auto"/>
              </w:rPr>
              <w:t>加强交通法制建设与安全宣传力度；强化交警的宗旨意识，提高执法水平和管理服务社会能力，为交管事业健康发展提供各项有力保障；合理、正确发放道路交通事故社会救助基金。</w:t>
            </w:r>
          </w:p>
        </w:tc>
        <w:tc>
          <w:tcPr>
            <w:tcW w:w="1417" w:type="dxa"/>
            <w:gridSpan w:val="3"/>
            <w:tcBorders>
              <w:left w:val="single" w:color="auto" w:sz="4" w:space="0"/>
            </w:tcBorders>
            <w:vAlign w:val="center"/>
          </w:tcPr>
          <w:p>
            <w:pPr>
              <w:spacing w:line="300" w:lineRule="exact"/>
              <w:jc w:val="left"/>
              <w:rPr>
                <w:rFonts w:ascii="方正书宋_GBK" w:eastAsia="方正书宋_GBK"/>
                <w:color w:val="auto"/>
              </w:rPr>
            </w:pPr>
          </w:p>
        </w:tc>
        <w:tc>
          <w:tcPr>
            <w:tcW w:w="737" w:type="dxa"/>
            <w:gridSpan w:val="2"/>
            <w:tcBorders>
              <w:right w:val="single" w:color="auto" w:sz="4" w:space="0"/>
            </w:tcBorders>
            <w:vAlign w:val="center"/>
          </w:tcPr>
          <w:p>
            <w:pPr>
              <w:spacing w:line="300" w:lineRule="exact"/>
              <w:jc w:val="center"/>
              <w:rPr>
                <w:rFonts w:ascii="方正书宋_GBK" w:eastAsia="方正书宋_GBK"/>
                <w:color w:val="auto"/>
              </w:rPr>
            </w:pPr>
          </w:p>
        </w:tc>
        <w:tc>
          <w:tcPr>
            <w:tcW w:w="737" w:type="dxa"/>
            <w:tcBorders>
              <w:left w:val="single" w:color="auto" w:sz="4" w:space="0"/>
              <w:right w:val="single" w:color="auto" w:sz="4" w:space="0"/>
            </w:tcBorders>
            <w:vAlign w:val="center"/>
          </w:tcPr>
          <w:p>
            <w:pPr>
              <w:spacing w:line="300" w:lineRule="exact"/>
              <w:jc w:val="center"/>
              <w:rPr>
                <w:rFonts w:ascii="方正书宋_GBK" w:eastAsia="方正书宋_GBK"/>
                <w:color w:val="auto"/>
              </w:rPr>
            </w:pPr>
          </w:p>
        </w:tc>
        <w:tc>
          <w:tcPr>
            <w:tcW w:w="737" w:type="dxa"/>
            <w:gridSpan w:val="3"/>
            <w:tcBorders>
              <w:left w:val="single" w:color="auto" w:sz="4" w:space="0"/>
            </w:tcBorders>
            <w:vAlign w:val="center"/>
          </w:tcPr>
          <w:p>
            <w:pPr>
              <w:spacing w:line="300" w:lineRule="exact"/>
              <w:jc w:val="center"/>
              <w:rPr>
                <w:rFonts w:ascii="方正书宋_GBK" w:eastAsia="方正书宋_GBK"/>
                <w:color w:val="auto"/>
              </w:rPr>
            </w:pPr>
          </w:p>
        </w:tc>
        <w:tc>
          <w:tcPr>
            <w:tcW w:w="739" w:type="dxa"/>
            <w:vAlign w:val="center"/>
          </w:tcPr>
          <w:p>
            <w:pPr>
              <w:spacing w:line="300" w:lineRule="exact"/>
              <w:jc w:val="center"/>
              <w:rPr>
                <w:rFonts w:ascii="方正书宋_GBK" w:eastAsia="方正书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2339"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、道路交通安全宣传</w:t>
            </w:r>
          </w:p>
        </w:tc>
        <w:tc>
          <w:tcPr>
            <w:tcW w:w="1276" w:type="dxa"/>
            <w:vMerge w:val="restart"/>
          </w:tcPr>
          <w:p>
            <w:pPr>
              <w:spacing w:line="300" w:lineRule="exact"/>
              <w:jc w:val="left"/>
              <w:outlineLvl w:val="0"/>
              <w:rPr>
                <w:color w:val="auto"/>
              </w:rPr>
            </w:pPr>
          </w:p>
        </w:tc>
        <w:tc>
          <w:tcPr>
            <w:tcW w:w="2985" w:type="dxa"/>
            <w:gridSpan w:val="2"/>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道路交通安全宣传</w:t>
            </w:r>
          </w:p>
        </w:tc>
        <w:tc>
          <w:tcPr>
            <w:tcW w:w="2985" w:type="dxa"/>
            <w:gridSpan w:val="2"/>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加强交通法制建设与安全宣传力度；强化交警的宗旨意识，提高执法水平和管理服务社会能力，为交管事业健康发展提供各项有力保障；合理、正确发放道路交通事故社会救助基金。</w:t>
            </w:r>
          </w:p>
        </w:tc>
        <w:tc>
          <w:tcPr>
            <w:tcW w:w="1380"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机动车及驾驶人违章下降率</w:t>
            </w:r>
          </w:p>
        </w:tc>
        <w:tc>
          <w:tcPr>
            <w:tcW w:w="750" w:type="dxa"/>
            <w:gridSpan w:val="2"/>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w:t>
            </w:r>
          </w:p>
        </w:tc>
        <w:tc>
          <w:tcPr>
            <w:tcW w:w="750" w:type="dxa"/>
            <w:gridSpan w:val="3"/>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20"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49" w:type="dxa"/>
            <w:gridSpan w:val="2"/>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tcPr>
          <w:p>
            <w:pPr>
              <w:spacing w:line="300" w:lineRule="exact"/>
              <w:jc w:val="left"/>
              <w:outlineLvl w:val="0"/>
              <w:rPr>
                <w:color w:val="auto"/>
              </w:rPr>
            </w:pPr>
          </w:p>
        </w:tc>
        <w:tc>
          <w:tcPr>
            <w:tcW w:w="2985" w:type="dxa"/>
            <w:gridSpan w:val="2"/>
            <w:vMerge w:val="continue"/>
            <w:vAlign w:val="center"/>
          </w:tcPr>
          <w:p>
            <w:pPr>
              <w:spacing w:line="300" w:lineRule="exact"/>
              <w:jc w:val="left"/>
              <w:rPr>
                <w:rFonts w:ascii="方正书宋_GBK" w:eastAsia="方正书宋_GBK"/>
                <w:color w:val="auto"/>
              </w:rPr>
            </w:pPr>
          </w:p>
        </w:tc>
        <w:tc>
          <w:tcPr>
            <w:tcW w:w="2985" w:type="dxa"/>
            <w:gridSpan w:val="2"/>
            <w:vMerge w:val="continue"/>
            <w:vAlign w:val="center"/>
          </w:tcPr>
          <w:p>
            <w:pPr>
              <w:spacing w:line="300" w:lineRule="exact"/>
              <w:jc w:val="left"/>
              <w:rPr>
                <w:rFonts w:ascii="方正书宋_GBK" w:eastAsia="方正书宋_GBK"/>
                <w:color w:val="auto"/>
              </w:rPr>
            </w:pPr>
          </w:p>
        </w:tc>
        <w:tc>
          <w:tcPr>
            <w:tcW w:w="1380"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受教育人数（人）</w:t>
            </w:r>
          </w:p>
        </w:tc>
        <w:tc>
          <w:tcPr>
            <w:tcW w:w="750" w:type="dxa"/>
            <w:gridSpan w:val="2"/>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10000</w:t>
            </w:r>
          </w:p>
        </w:tc>
        <w:tc>
          <w:tcPr>
            <w:tcW w:w="750" w:type="dxa"/>
            <w:gridSpan w:val="3"/>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9000</w:t>
            </w:r>
          </w:p>
        </w:tc>
        <w:tc>
          <w:tcPr>
            <w:tcW w:w="720"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8000</w:t>
            </w:r>
          </w:p>
        </w:tc>
        <w:tc>
          <w:tcPr>
            <w:tcW w:w="749" w:type="dxa"/>
            <w:gridSpan w:val="2"/>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tcPr>
          <w:p>
            <w:pPr>
              <w:spacing w:line="300" w:lineRule="exact"/>
              <w:jc w:val="left"/>
              <w:outlineLvl w:val="0"/>
              <w:rPr>
                <w:color w:val="auto"/>
              </w:rPr>
            </w:pPr>
          </w:p>
        </w:tc>
        <w:tc>
          <w:tcPr>
            <w:tcW w:w="2985" w:type="dxa"/>
            <w:gridSpan w:val="2"/>
            <w:vMerge w:val="continue"/>
            <w:vAlign w:val="center"/>
          </w:tcPr>
          <w:p>
            <w:pPr>
              <w:spacing w:line="300" w:lineRule="exact"/>
              <w:jc w:val="left"/>
              <w:rPr>
                <w:rFonts w:ascii="方正书宋_GBK" w:eastAsia="方正书宋_GBK"/>
                <w:color w:val="auto"/>
              </w:rPr>
            </w:pPr>
          </w:p>
        </w:tc>
        <w:tc>
          <w:tcPr>
            <w:tcW w:w="2985" w:type="dxa"/>
            <w:gridSpan w:val="2"/>
            <w:vMerge w:val="continue"/>
            <w:vAlign w:val="center"/>
          </w:tcPr>
          <w:p>
            <w:pPr>
              <w:spacing w:line="300" w:lineRule="exact"/>
              <w:jc w:val="left"/>
              <w:rPr>
                <w:rFonts w:ascii="方正书宋_GBK" w:eastAsia="方正书宋_GBK"/>
                <w:color w:val="auto"/>
              </w:rPr>
            </w:pPr>
          </w:p>
        </w:tc>
        <w:tc>
          <w:tcPr>
            <w:tcW w:w="1380"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宣传次数（次）</w:t>
            </w:r>
          </w:p>
        </w:tc>
        <w:tc>
          <w:tcPr>
            <w:tcW w:w="750" w:type="dxa"/>
            <w:gridSpan w:val="2"/>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50" w:type="dxa"/>
            <w:gridSpan w:val="3"/>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20" w:type="dxa"/>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49" w:type="dxa"/>
            <w:gridSpan w:val="2"/>
            <w:vAlign w:val="center"/>
          </w:tcPr>
          <w:p>
            <w:pPr>
              <w:spacing w:line="300" w:lineRule="exact"/>
              <w:jc w:val="center"/>
              <w:rPr>
                <w:rFonts w:ascii="方正书宋_GBK" w:eastAsia="方正书宋_GBK"/>
                <w:color w:val="auto"/>
              </w:rPr>
            </w:pPr>
            <w:r>
              <w:rPr>
                <w:rFonts w:ascii="方正书宋_GBK" w:eastAsia="方正书宋_GBK"/>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tcPr>
          <w:p>
            <w:pPr>
              <w:spacing w:line="300" w:lineRule="exact"/>
              <w:jc w:val="left"/>
              <w:outlineLvl w:val="0"/>
              <w:rPr>
                <w:color w:val="auto"/>
              </w:rPr>
            </w:pPr>
          </w:p>
        </w:tc>
        <w:tc>
          <w:tcPr>
            <w:tcW w:w="2985" w:type="dxa"/>
            <w:gridSpan w:val="2"/>
            <w:vMerge w:val="continue"/>
            <w:vAlign w:val="center"/>
          </w:tcPr>
          <w:p>
            <w:pPr>
              <w:spacing w:line="300" w:lineRule="exact"/>
              <w:jc w:val="left"/>
              <w:rPr>
                <w:rFonts w:ascii="方正书宋_GBK" w:eastAsia="方正书宋_GBK"/>
                <w:color w:val="auto"/>
              </w:rPr>
            </w:pPr>
          </w:p>
        </w:tc>
        <w:tc>
          <w:tcPr>
            <w:tcW w:w="2985" w:type="dxa"/>
            <w:gridSpan w:val="2"/>
            <w:vMerge w:val="continue"/>
            <w:vAlign w:val="center"/>
          </w:tcPr>
          <w:p>
            <w:pPr>
              <w:spacing w:line="300" w:lineRule="exact"/>
              <w:jc w:val="left"/>
              <w:rPr>
                <w:rFonts w:ascii="方正书宋_GBK" w:eastAsia="方正书宋_GBK"/>
                <w:color w:val="auto"/>
              </w:rPr>
            </w:pPr>
          </w:p>
        </w:tc>
        <w:tc>
          <w:tcPr>
            <w:tcW w:w="1380"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各项交管综合业务管理工作和保障工作完成率</w:t>
            </w:r>
          </w:p>
        </w:tc>
        <w:tc>
          <w:tcPr>
            <w:tcW w:w="750" w:type="dxa"/>
            <w:gridSpan w:val="2"/>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50" w:type="dxa"/>
            <w:gridSpan w:val="3"/>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20"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49" w:type="dxa"/>
            <w:gridSpan w:val="2"/>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339"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、队伍建设与管理</w:t>
            </w:r>
          </w:p>
        </w:tc>
        <w:tc>
          <w:tcPr>
            <w:tcW w:w="1276" w:type="dxa"/>
            <w:vMerge w:val="restart"/>
          </w:tcPr>
          <w:p>
            <w:pPr>
              <w:spacing w:line="300" w:lineRule="exact"/>
              <w:jc w:val="left"/>
              <w:outlineLvl w:val="0"/>
              <w:rPr>
                <w:rFonts w:ascii="方正书宋_GBK" w:eastAsia="方正书宋_GBK"/>
                <w:color w:val="auto"/>
              </w:rPr>
            </w:pPr>
          </w:p>
          <w:p>
            <w:pPr>
              <w:spacing w:line="300" w:lineRule="exact"/>
              <w:jc w:val="left"/>
              <w:outlineLvl w:val="0"/>
              <w:rPr>
                <w:rFonts w:ascii="方正书宋_GBK" w:eastAsia="方正书宋_GBK"/>
                <w:color w:val="auto"/>
              </w:rPr>
            </w:pPr>
          </w:p>
          <w:p>
            <w:pPr>
              <w:spacing w:line="300" w:lineRule="exact"/>
              <w:jc w:val="left"/>
              <w:outlineLvl w:val="0"/>
              <w:rPr>
                <w:color w:val="auto"/>
              </w:rPr>
            </w:pPr>
            <w:r>
              <w:rPr>
                <w:rFonts w:ascii="方正书宋_GBK" w:eastAsia="方正书宋_GBK"/>
                <w:color w:val="auto"/>
              </w:rPr>
              <w:t>57.73</w:t>
            </w:r>
          </w:p>
        </w:tc>
        <w:tc>
          <w:tcPr>
            <w:tcW w:w="2985" w:type="dxa"/>
            <w:gridSpan w:val="2"/>
            <w:vMerge w:val="restart"/>
          </w:tcPr>
          <w:p>
            <w:pPr>
              <w:spacing w:line="300" w:lineRule="exact"/>
              <w:jc w:val="left"/>
              <w:outlineLvl w:val="0"/>
              <w:rPr>
                <w:rFonts w:ascii="方正书宋_GBK" w:eastAsia="方正书宋_GBK"/>
                <w:color w:val="auto"/>
              </w:rPr>
            </w:pPr>
          </w:p>
          <w:p>
            <w:pPr>
              <w:spacing w:line="300" w:lineRule="exact"/>
              <w:jc w:val="left"/>
              <w:outlineLvl w:val="0"/>
              <w:rPr>
                <w:rFonts w:ascii="方正书宋_GBK" w:eastAsia="方正书宋_GBK"/>
                <w:color w:val="auto"/>
              </w:rPr>
            </w:pPr>
          </w:p>
          <w:p>
            <w:pPr>
              <w:spacing w:line="300" w:lineRule="exact"/>
              <w:jc w:val="left"/>
              <w:outlineLvl w:val="0"/>
              <w:rPr>
                <w:color w:val="auto"/>
              </w:rPr>
            </w:pPr>
            <w:r>
              <w:rPr>
                <w:rFonts w:hint="eastAsia" w:ascii="方正书宋_GBK" w:eastAsia="方正书宋_GBK"/>
                <w:color w:val="auto"/>
              </w:rPr>
              <w:t>队伍建设与管理</w:t>
            </w:r>
          </w:p>
          <w:p>
            <w:pPr>
              <w:rPr>
                <w:color w:val="auto"/>
              </w:rPr>
            </w:pPr>
          </w:p>
        </w:tc>
        <w:tc>
          <w:tcPr>
            <w:tcW w:w="2985" w:type="dxa"/>
            <w:gridSpan w:val="2"/>
            <w:vMerge w:val="restart"/>
          </w:tcPr>
          <w:p>
            <w:pPr>
              <w:spacing w:line="300" w:lineRule="exact"/>
              <w:jc w:val="left"/>
              <w:outlineLvl w:val="0"/>
              <w:rPr>
                <w:color w:val="auto"/>
              </w:rPr>
            </w:pPr>
          </w:p>
        </w:tc>
        <w:tc>
          <w:tcPr>
            <w:tcW w:w="1380"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业务受训人数</w:t>
            </w:r>
          </w:p>
        </w:tc>
        <w:tc>
          <w:tcPr>
            <w:tcW w:w="750" w:type="dxa"/>
            <w:gridSpan w:val="2"/>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1000</w:t>
            </w:r>
          </w:p>
        </w:tc>
        <w:tc>
          <w:tcPr>
            <w:tcW w:w="750" w:type="dxa"/>
            <w:gridSpan w:val="3"/>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900</w:t>
            </w:r>
          </w:p>
        </w:tc>
        <w:tc>
          <w:tcPr>
            <w:tcW w:w="720"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800</w:t>
            </w:r>
          </w:p>
        </w:tc>
        <w:tc>
          <w:tcPr>
            <w:tcW w:w="749" w:type="dxa"/>
            <w:gridSpan w:val="2"/>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tcPr>
          <w:p>
            <w:pPr>
              <w:spacing w:line="300" w:lineRule="exact"/>
              <w:jc w:val="left"/>
              <w:outlineLvl w:val="0"/>
              <w:rPr>
                <w:rFonts w:ascii="方正书宋_GBK" w:eastAsia="方正书宋_GBK"/>
                <w:color w:val="auto"/>
              </w:rPr>
            </w:pPr>
          </w:p>
        </w:tc>
        <w:tc>
          <w:tcPr>
            <w:tcW w:w="2985" w:type="dxa"/>
            <w:gridSpan w:val="2"/>
            <w:vMerge w:val="continue"/>
          </w:tcPr>
          <w:p>
            <w:pPr>
              <w:spacing w:line="300" w:lineRule="exact"/>
              <w:jc w:val="left"/>
              <w:outlineLvl w:val="0"/>
              <w:rPr>
                <w:rFonts w:ascii="方正书宋_GBK" w:eastAsia="方正书宋_GBK"/>
                <w:color w:val="auto"/>
              </w:rPr>
            </w:pPr>
          </w:p>
        </w:tc>
        <w:tc>
          <w:tcPr>
            <w:tcW w:w="2985" w:type="dxa"/>
            <w:gridSpan w:val="2"/>
            <w:vMerge w:val="continue"/>
          </w:tcPr>
          <w:p>
            <w:pPr>
              <w:spacing w:line="300" w:lineRule="exact"/>
              <w:jc w:val="left"/>
              <w:outlineLvl w:val="0"/>
              <w:rPr>
                <w:color w:val="auto"/>
              </w:rPr>
            </w:pPr>
          </w:p>
        </w:tc>
        <w:tc>
          <w:tcPr>
            <w:tcW w:w="1380"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业务培训次数</w:t>
            </w:r>
          </w:p>
        </w:tc>
        <w:tc>
          <w:tcPr>
            <w:tcW w:w="750" w:type="dxa"/>
            <w:gridSpan w:val="2"/>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50" w:type="dxa"/>
            <w:gridSpan w:val="3"/>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20" w:type="dxa"/>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49" w:type="dxa"/>
            <w:gridSpan w:val="2"/>
            <w:vAlign w:val="center"/>
          </w:tcPr>
          <w:p>
            <w:pPr>
              <w:spacing w:line="300" w:lineRule="exact"/>
              <w:jc w:val="center"/>
              <w:rPr>
                <w:rFonts w:ascii="方正书宋_GBK" w:eastAsia="方正书宋_GBK"/>
                <w:color w:val="auto"/>
              </w:rPr>
            </w:pPr>
            <w:r>
              <w:rPr>
                <w:rFonts w:ascii="方正书宋_GBK" w:eastAsia="方正书宋_GBK"/>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39" w:type="dxa"/>
            <w:vMerge w:val="continue"/>
            <w:vAlign w:val="center"/>
          </w:tcPr>
          <w:p>
            <w:pPr>
              <w:spacing w:line="300" w:lineRule="exact"/>
              <w:jc w:val="left"/>
              <w:rPr>
                <w:rFonts w:ascii="方正书宋_GBK" w:eastAsia="方正书宋_GBK"/>
                <w:b/>
                <w:color w:val="auto"/>
              </w:rPr>
            </w:pPr>
          </w:p>
        </w:tc>
        <w:tc>
          <w:tcPr>
            <w:tcW w:w="1276" w:type="dxa"/>
            <w:vMerge w:val="continue"/>
          </w:tcPr>
          <w:p>
            <w:pPr>
              <w:spacing w:line="300" w:lineRule="exact"/>
              <w:jc w:val="left"/>
              <w:outlineLvl w:val="0"/>
              <w:rPr>
                <w:rFonts w:ascii="方正书宋_GBK" w:eastAsia="方正书宋_GBK"/>
                <w:color w:val="auto"/>
              </w:rPr>
            </w:pPr>
          </w:p>
        </w:tc>
        <w:tc>
          <w:tcPr>
            <w:tcW w:w="2985" w:type="dxa"/>
            <w:gridSpan w:val="2"/>
            <w:vMerge w:val="continue"/>
          </w:tcPr>
          <w:p>
            <w:pPr>
              <w:spacing w:line="300" w:lineRule="exact"/>
              <w:jc w:val="left"/>
              <w:outlineLvl w:val="0"/>
              <w:rPr>
                <w:rFonts w:ascii="方正书宋_GBK" w:eastAsia="方正书宋_GBK"/>
                <w:color w:val="auto"/>
              </w:rPr>
            </w:pPr>
          </w:p>
        </w:tc>
        <w:tc>
          <w:tcPr>
            <w:tcW w:w="2985" w:type="dxa"/>
            <w:gridSpan w:val="2"/>
            <w:vMerge w:val="continue"/>
          </w:tcPr>
          <w:p>
            <w:pPr>
              <w:spacing w:line="300" w:lineRule="exact"/>
              <w:jc w:val="left"/>
              <w:outlineLvl w:val="0"/>
              <w:rPr>
                <w:color w:val="auto"/>
              </w:rPr>
            </w:pPr>
          </w:p>
        </w:tc>
        <w:tc>
          <w:tcPr>
            <w:tcW w:w="1380"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民警执法规范程度</w:t>
            </w:r>
          </w:p>
        </w:tc>
        <w:tc>
          <w:tcPr>
            <w:tcW w:w="750" w:type="dxa"/>
            <w:gridSpan w:val="2"/>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50" w:type="dxa"/>
            <w:gridSpan w:val="3"/>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20"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49" w:type="dxa"/>
            <w:gridSpan w:val="2"/>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bl>
    <w:p>
      <w:pPr>
        <w:spacing w:line="300" w:lineRule="exact"/>
        <w:jc w:val="left"/>
        <w:outlineLvl w:val="0"/>
        <w:rPr>
          <w:color w:val="auto"/>
        </w:rPr>
        <w:sectPr>
          <w:pgSz w:w="16839" w:h="11907" w:orient="landscape"/>
          <w:pgMar w:top="1020" w:right="1361" w:bottom="1020" w:left="1361" w:header="851" w:footer="992" w:gutter="0"/>
          <w:cols w:space="720" w:num="1"/>
          <w:docGrid w:type="lines" w:linePitch="312" w:charSpace="0"/>
        </w:sectPr>
      </w:pPr>
    </w:p>
    <w:p>
      <w:pPr>
        <w:autoSpaceDE w:val="0"/>
        <w:autoSpaceDN w:val="0"/>
        <w:adjustRightInd w:val="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2" w:name="_Toc471398468"/>
      <w:r>
        <w:rPr>
          <w:rFonts w:ascii="Times New Roman" w:hAnsi="Times New Roman" w:eastAsia="仿宋" w:cs="Times New Roman"/>
          <w:color w:val="auto"/>
          <w:sz w:val="32"/>
          <w:szCs w:val="24"/>
        </w:rPr>
        <w:t xml:space="preserve"> 201</w:t>
      </w:r>
      <w:r>
        <w:rPr>
          <w:rFonts w:hint="eastAsia" w:ascii="Times New Roman" w:hAnsi="Times New Roman" w:eastAsia="仿宋" w:cs="Times New Roman"/>
          <w:color w:val="auto"/>
          <w:sz w:val="32"/>
          <w:szCs w:val="24"/>
          <w:lang w:val="en-US" w:eastAsia="zh-CN"/>
        </w:rPr>
        <w:t>9</w:t>
      </w:r>
      <w:r>
        <w:rPr>
          <w:rFonts w:ascii="Times New Roman" w:hAnsi="Times New Roman" w:eastAsia="仿宋" w:cs="Times New Roman"/>
          <w:color w:val="auto"/>
          <w:sz w:val="32"/>
          <w:szCs w:val="24"/>
        </w:rPr>
        <w:t>年，</w:t>
      </w:r>
      <w:r>
        <w:rPr>
          <w:rFonts w:hint="eastAsia" w:ascii="Times New Roman" w:hAnsi="Times New Roman" w:eastAsia="仿宋" w:cs="Times New Roman"/>
          <w:color w:val="auto"/>
          <w:sz w:val="32"/>
          <w:szCs w:val="24"/>
        </w:rPr>
        <w:t>我部门</w:t>
      </w:r>
      <w:r>
        <w:rPr>
          <w:rFonts w:ascii="Times New Roman" w:hAnsi="Times New Roman" w:eastAsia="仿宋" w:cs="Times New Roman"/>
          <w:color w:val="auto"/>
          <w:sz w:val="32"/>
          <w:szCs w:val="24"/>
        </w:rPr>
        <w:t>安排政府采购预算</w:t>
      </w:r>
      <w:r>
        <w:rPr>
          <w:rFonts w:hint="eastAsia" w:ascii="Times New Roman" w:hAnsi="Times New Roman" w:eastAsia="仿宋" w:cs="Times New Roman"/>
          <w:color w:val="auto"/>
          <w:sz w:val="32"/>
          <w:szCs w:val="24"/>
        </w:rPr>
        <w:t>789.91</w:t>
      </w:r>
      <w:r>
        <w:rPr>
          <w:rFonts w:ascii="Times New Roman" w:hAnsi="Times New Roman" w:eastAsia="仿宋" w:cs="Times New Roman"/>
          <w:color w:val="auto"/>
          <w:sz w:val="32"/>
          <w:szCs w:val="24"/>
        </w:rPr>
        <w:t>万元。具体内容见下表。</w:t>
      </w:r>
      <w:bookmarkEnd w:id="2"/>
    </w:p>
    <w:p>
      <w:pPr>
        <w:jc w:val="center"/>
        <w:outlineLvl w:val="0"/>
        <w:rPr>
          <w:rFonts w:ascii="方正小标宋_GBK" w:eastAsia="方正小标宋_GBK"/>
          <w:color w:val="auto"/>
          <w:sz w:val="32"/>
        </w:rPr>
      </w:pPr>
      <w:bookmarkStart w:id="3" w:name="_Toc503971530"/>
      <w:r>
        <w:rPr>
          <w:rFonts w:hint="eastAsia" w:ascii="方正小标宋_GBK" w:eastAsia="方正小标宋_GBK"/>
          <w:color w:val="auto"/>
          <w:sz w:val="32"/>
        </w:rPr>
        <w:t>部门政府采购预算</w:t>
      </w:r>
      <w:bookmarkEnd w:id="3"/>
    </w:p>
    <w:tbl>
      <w:tblPr>
        <w:tblStyle w:val="6"/>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1"/>
        <w:gridCol w:w="1052"/>
        <w:gridCol w:w="1252"/>
        <w:gridCol w:w="1199"/>
        <w:gridCol w:w="714"/>
        <w:gridCol w:w="742"/>
        <w:gridCol w:w="859"/>
        <w:gridCol w:w="887"/>
        <w:gridCol w:w="916"/>
        <w:gridCol w:w="916"/>
        <w:gridCol w:w="916"/>
        <w:gridCol w:w="919"/>
        <w:gridCol w:w="919"/>
        <w:gridCol w:w="8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219"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hint="eastAsia" w:ascii="方正小标宋_GBK" w:eastAsia="方正小标宋_GBK"/>
                <w:color w:val="auto"/>
                <w:sz w:val="24"/>
              </w:rPr>
              <w:t>451曲阳县公安局交通管理大队</w:t>
            </w:r>
          </w:p>
        </w:tc>
        <w:tc>
          <w:tcPr>
            <w:tcW w:w="6349"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453" w:type="dxa"/>
            <w:gridSpan w:val="2"/>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1252"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1199"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14"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数量单位</w:t>
            </w:r>
          </w:p>
        </w:tc>
        <w:tc>
          <w:tcPr>
            <w:tcW w:w="742"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59"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349" w:type="dxa"/>
            <w:gridSpan w:val="7"/>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0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52"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1252" w:type="dxa"/>
            <w:vMerge w:val="continue"/>
            <w:vAlign w:val="center"/>
          </w:tcPr>
          <w:p>
            <w:pPr>
              <w:spacing w:line="300" w:lineRule="exact"/>
              <w:jc w:val="left"/>
              <w:outlineLvl w:val="0"/>
              <w:rPr>
                <w:color w:val="auto"/>
              </w:rPr>
            </w:pPr>
          </w:p>
        </w:tc>
        <w:tc>
          <w:tcPr>
            <w:tcW w:w="1199" w:type="dxa"/>
            <w:vMerge w:val="continue"/>
            <w:vAlign w:val="center"/>
          </w:tcPr>
          <w:p>
            <w:pPr>
              <w:spacing w:line="300" w:lineRule="exact"/>
              <w:jc w:val="left"/>
              <w:outlineLvl w:val="0"/>
              <w:rPr>
                <w:color w:val="auto"/>
              </w:rPr>
            </w:pPr>
          </w:p>
        </w:tc>
        <w:tc>
          <w:tcPr>
            <w:tcW w:w="714" w:type="dxa"/>
            <w:vMerge w:val="continue"/>
            <w:vAlign w:val="center"/>
          </w:tcPr>
          <w:p>
            <w:pPr>
              <w:spacing w:line="300" w:lineRule="exact"/>
              <w:jc w:val="left"/>
              <w:outlineLvl w:val="0"/>
              <w:rPr>
                <w:color w:val="auto"/>
              </w:rPr>
            </w:pPr>
          </w:p>
        </w:tc>
        <w:tc>
          <w:tcPr>
            <w:tcW w:w="742" w:type="dxa"/>
            <w:vMerge w:val="continue"/>
            <w:vAlign w:val="center"/>
          </w:tcPr>
          <w:p>
            <w:pPr>
              <w:spacing w:line="300" w:lineRule="exact"/>
              <w:jc w:val="left"/>
              <w:outlineLvl w:val="0"/>
              <w:rPr>
                <w:color w:val="auto"/>
              </w:rPr>
            </w:pPr>
          </w:p>
        </w:tc>
        <w:tc>
          <w:tcPr>
            <w:tcW w:w="859" w:type="dxa"/>
            <w:vMerge w:val="continue"/>
            <w:vAlign w:val="center"/>
          </w:tcPr>
          <w:p>
            <w:pPr>
              <w:spacing w:line="300" w:lineRule="exact"/>
              <w:jc w:val="left"/>
              <w:outlineLvl w:val="0"/>
              <w:rPr>
                <w:color w:val="auto"/>
              </w:rPr>
            </w:pPr>
          </w:p>
        </w:tc>
        <w:tc>
          <w:tcPr>
            <w:tcW w:w="887"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586" w:type="dxa"/>
            <w:gridSpan w:val="5"/>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8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01" w:type="dxa"/>
            <w:vMerge w:val="continue"/>
            <w:vAlign w:val="center"/>
          </w:tcPr>
          <w:p>
            <w:pPr>
              <w:spacing w:line="300" w:lineRule="exact"/>
              <w:jc w:val="left"/>
              <w:outlineLvl w:val="0"/>
              <w:rPr>
                <w:color w:val="auto"/>
              </w:rPr>
            </w:pPr>
          </w:p>
        </w:tc>
        <w:tc>
          <w:tcPr>
            <w:tcW w:w="1052" w:type="dxa"/>
            <w:vMerge w:val="continue"/>
            <w:vAlign w:val="center"/>
          </w:tcPr>
          <w:p>
            <w:pPr>
              <w:spacing w:line="300" w:lineRule="exact"/>
              <w:jc w:val="left"/>
              <w:outlineLvl w:val="0"/>
              <w:rPr>
                <w:color w:val="auto"/>
              </w:rPr>
            </w:pPr>
          </w:p>
        </w:tc>
        <w:tc>
          <w:tcPr>
            <w:tcW w:w="1252" w:type="dxa"/>
            <w:vMerge w:val="continue"/>
            <w:vAlign w:val="center"/>
          </w:tcPr>
          <w:p>
            <w:pPr>
              <w:spacing w:line="300" w:lineRule="exact"/>
              <w:jc w:val="left"/>
              <w:outlineLvl w:val="0"/>
              <w:rPr>
                <w:color w:val="auto"/>
              </w:rPr>
            </w:pPr>
          </w:p>
        </w:tc>
        <w:tc>
          <w:tcPr>
            <w:tcW w:w="1199" w:type="dxa"/>
            <w:vMerge w:val="continue"/>
            <w:vAlign w:val="center"/>
          </w:tcPr>
          <w:p>
            <w:pPr>
              <w:spacing w:line="300" w:lineRule="exact"/>
              <w:jc w:val="left"/>
              <w:outlineLvl w:val="0"/>
              <w:rPr>
                <w:color w:val="auto"/>
              </w:rPr>
            </w:pPr>
          </w:p>
        </w:tc>
        <w:tc>
          <w:tcPr>
            <w:tcW w:w="714" w:type="dxa"/>
            <w:vMerge w:val="continue"/>
            <w:vAlign w:val="center"/>
          </w:tcPr>
          <w:p>
            <w:pPr>
              <w:spacing w:line="300" w:lineRule="exact"/>
              <w:jc w:val="left"/>
              <w:outlineLvl w:val="0"/>
              <w:rPr>
                <w:color w:val="auto"/>
              </w:rPr>
            </w:pPr>
          </w:p>
        </w:tc>
        <w:tc>
          <w:tcPr>
            <w:tcW w:w="742" w:type="dxa"/>
            <w:vMerge w:val="continue"/>
            <w:vAlign w:val="center"/>
          </w:tcPr>
          <w:p>
            <w:pPr>
              <w:spacing w:line="300" w:lineRule="exact"/>
              <w:jc w:val="left"/>
              <w:outlineLvl w:val="0"/>
              <w:rPr>
                <w:color w:val="auto"/>
              </w:rPr>
            </w:pPr>
          </w:p>
        </w:tc>
        <w:tc>
          <w:tcPr>
            <w:tcW w:w="859" w:type="dxa"/>
            <w:vMerge w:val="continue"/>
            <w:vAlign w:val="center"/>
          </w:tcPr>
          <w:p>
            <w:pPr>
              <w:spacing w:line="300" w:lineRule="exact"/>
              <w:jc w:val="left"/>
              <w:outlineLvl w:val="0"/>
              <w:rPr>
                <w:color w:val="auto"/>
              </w:rPr>
            </w:pPr>
          </w:p>
        </w:tc>
        <w:tc>
          <w:tcPr>
            <w:tcW w:w="887" w:type="dxa"/>
            <w:vMerge w:val="continue"/>
            <w:vAlign w:val="center"/>
          </w:tcPr>
          <w:p>
            <w:pPr>
              <w:spacing w:line="300" w:lineRule="exact"/>
              <w:jc w:val="left"/>
              <w:outlineLvl w:val="0"/>
              <w:rPr>
                <w:color w:val="auto"/>
              </w:rPr>
            </w:pPr>
          </w:p>
        </w:tc>
        <w:tc>
          <w:tcPr>
            <w:tcW w:w="916"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16"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16"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19"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19"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876" w:type="dxa"/>
            <w:vMerge w:val="continue"/>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52" w:type="dxa"/>
            <w:vAlign w:val="center"/>
          </w:tcPr>
          <w:p>
            <w:pPr>
              <w:spacing w:line="300" w:lineRule="exact"/>
              <w:jc w:val="right"/>
              <w:rPr>
                <w:rFonts w:ascii="方正书宋_GBK" w:eastAsia="方正书宋_GBK"/>
                <w:b/>
                <w:color w:val="auto"/>
              </w:rPr>
            </w:pPr>
          </w:p>
        </w:tc>
        <w:tc>
          <w:tcPr>
            <w:tcW w:w="1252" w:type="dxa"/>
            <w:vAlign w:val="center"/>
          </w:tcPr>
          <w:p>
            <w:pPr>
              <w:spacing w:line="300" w:lineRule="exact"/>
              <w:jc w:val="left"/>
              <w:rPr>
                <w:rFonts w:ascii="方正书宋_GBK" w:eastAsia="方正书宋_GBK"/>
                <w:b/>
                <w:color w:val="auto"/>
              </w:rPr>
            </w:pPr>
          </w:p>
        </w:tc>
        <w:tc>
          <w:tcPr>
            <w:tcW w:w="1199" w:type="dxa"/>
            <w:vAlign w:val="center"/>
          </w:tcPr>
          <w:p>
            <w:pPr>
              <w:spacing w:line="300" w:lineRule="exact"/>
              <w:jc w:val="left"/>
              <w:rPr>
                <w:rFonts w:ascii="方正书宋_GBK" w:eastAsia="方正书宋_GBK"/>
                <w:b/>
                <w:color w:val="auto"/>
              </w:rPr>
            </w:pPr>
          </w:p>
        </w:tc>
        <w:tc>
          <w:tcPr>
            <w:tcW w:w="714" w:type="dxa"/>
            <w:vAlign w:val="center"/>
          </w:tcPr>
          <w:p>
            <w:pPr>
              <w:spacing w:line="300" w:lineRule="exact"/>
              <w:jc w:val="left"/>
              <w:rPr>
                <w:rFonts w:ascii="方正书宋_GBK" w:eastAsia="方正书宋_GBK"/>
                <w:b/>
                <w:color w:val="auto"/>
              </w:rPr>
            </w:pPr>
          </w:p>
        </w:tc>
        <w:tc>
          <w:tcPr>
            <w:tcW w:w="742" w:type="dxa"/>
            <w:vAlign w:val="center"/>
          </w:tcPr>
          <w:p>
            <w:pPr>
              <w:spacing w:line="300" w:lineRule="exact"/>
              <w:jc w:val="right"/>
              <w:rPr>
                <w:rFonts w:ascii="方正书宋_GBK" w:eastAsia="方正书宋_GBK"/>
                <w:b/>
                <w:color w:val="auto"/>
              </w:rPr>
            </w:pPr>
          </w:p>
        </w:tc>
        <w:tc>
          <w:tcPr>
            <w:tcW w:w="859" w:type="dxa"/>
            <w:vAlign w:val="center"/>
          </w:tcPr>
          <w:p>
            <w:pPr>
              <w:spacing w:line="300" w:lineRule="exact"/>
              <w:jc w:val="right"/>
              <w:rPr>
                <w:rFonts w:ascii="方正书宋_GBK" w:eastAsia="方正书宋_GBK"/>
                <w:b/>
                <w:color w:val="auto"/>
              </w:rPr>
            </w:pPr>
          </w:p>
        </w:tc>
        <w:tc>
          <w:tcPr>
            <w:tcW w:w="887"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rPr>
              <w:t>789.91</w:t>
            </w:r>
          </w:p>
        </w:tc>
        <w:tc>
          <w:tcPr>
            <w:tcW w:w="916"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rPr>
              <w:t>789.91</w:t>
            </w:r>
          </w:p>
        </w:tc>
        <w:tc>
          <w:tcPr>
            <w:tcW w:w="916"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rPr>
              <w:t>789.91</w:t>
            </w:r>
          </w:p>
        </w:tc>
        <w:tc>
          <w:tcPr>
            <w:tcW w:w="916" w:type="dxa"/>
            <w:vAlign w:val="center"/>
          </w:tcPr>
          <w:p>
            <w:pPr>
              <w:spacing w:line="300" w:lineRule="exact"/>
              <w:jc w:val="right"/>
              <w:rPr>
                <w:rFonts w:ascii="方正书宋_GBK" w:eastAsia="方正书宋_GBK"/>
                <w:b/>
                <w:color w:val="auto"/>
              </w:rPr>
            </w:pPr>
          </w:p>
        </w:tc>
        <w:tc>
          <w:tcPr>
            <w:tcW w:w="919" w:type="dxa"/>
            <w:vAlign w:val="center"/>
          </w:tcPr>
          <w:p>
            <w:pPr>
              <w:spacing w:line="300" w:lineRule="exact"/>
              <w:jc w:val="right"/>
              <w:rPr>
                <w:rFonts w:ascii="方正书宋_GBK" w:eastAsia="方正书宋_GBK"/>
                <w:b/>
                <w:color w:val="auto"/>
              </w:rPr>
            </w:pPr>
          </w:p>
        </w:tc>
        <w:tc>
          <w:tcPr>
            <w:tcW w:w="919" w:type="dxa"/>
            <w:vAlign w:val="center"/>
          </w:tcPr>
          <w:p>
            <w:pPr>
              <w:spacing w:line="300" w:lineRule="exact"/>
              <w:jc w:val="right"/>
              <w:rPr>
                <w:rFonts w:ascii="方正书宋_GBK" w:eastAsia="方正书宋_GBK"/>
                <w:b/>
                <w:color w:val="auto"/>
              </w:rPr>
            </w:pPr>
          </w:p>
        </w:tc>
        <w:tc>
          <w:tcPr>
            <w:tcW w:w="876"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曲阳县公安局交通管理大队小计</w:t>
            </w:r>
          </w:p>
        </w:tc>
        <w:tc>
          <w:tcPr>
            <w:tcW w:w="1052" w:type="dxa"/>
            <w:vAlign w:val="center"/>
          </w:tcPr>
          <w:p>
            <w:pPr>
              <w:spacing w:line="300" w:lineRule="exact"/>
              <w:jc w:val="right"/>
              <w:rPr>
                <w:rFonts w:ascii="方正书宋_GBK" w:eastAsia="方正书宋_GBK"/>
                <w:b/>
                <w:color w:val="auto"/>
              </w:rPr>
            </w:pPr>
          </w:p>
        </w:tc>
        <w:tc>
          <w:tcPr>
            <w:tcW w:w="1252" w:type="dxa"/>
            <w:vAlign w:val="center"/>
          </w:tcPr>
          <w:p>
            <w:pPr>
              <w:spacing w:line="300" w:lineRule="exact"/>
              <w:jc w:val="left"/>
              <w:rPr>
                <w:rFonts w:ascii="方正书宋_GBK" w:eastAsia="方正书宋_GBK"/>
                <w:b/>
                <w:color w:val="auto"/>
              </w:rPr>
            </w:pPr>
          </w:p>
        </w:tc>
        <w:tc>
          <w:tcPr>
            <w:tcW w:w="1199" w:type="dxa"/>
            <w:vAlign w:val="center"/>
          </w:tcPr>
          <w:p>
            <w:pPr>
              <w:spacing w:line="300" w:lineRule="exact"/>
              <w:jc w:val="left"/>
              <w:rPr>
                <w:rFonts w:ascii="方正书宋_GBK" w:eastAsia="方正书宋_GBK"/>
                <w:b/>
                <w:color w:val="auto"/>
              </w:rPr>
            </w:pPr>
          </w:p>
        </w:tc>
        <w:tc>
          <w:tcPr>
            <w:tcW w:w="714" w:type="dxa"/>
            <w:vAlign w:val="center"/>
          </w:tcPr>
          <w:p>
            <w:pPr>
              <w:spacing w:line="300" w:lineRule="exact"/>
              <w:jc w:val="left"/>
              <w:rPr>
                <w:rFonts w:ascii="方正书宋_GBK" w:eastAsia="方正书宋_GBK"/>
                <w:b/>
                <w:color w:val="auto"/>
              </w:rPr>
            </w:pPr>
          </w:p>
        </w:tc>
        <w:tc>
          <w:tcPr>
            <w:tcW w:w="742" w:type="dxa"/>
            <w:vAlign w:val="center"/>
          </w:tcPr>
          <w:p>
            <w:pPr>
              <w:spacing w:line="300" w:lineRule="exact"/>
              <w:jc w:val="right"/>
              <w:rPr>
                <w:rFonts w:ascii="方正书宋_GBK" w:eastAsia="方正书宋_GBK"/>
                <w:b/>
                <w:color w:val="auto"/>
              </w:rPr>
            </w:pPr>
          </w:p>
        </w:tc>
        <w:tc>
          <w:tcPr>
            <w:tcW w:w="859" w:type="dxa"/>
            <w:vAlign w:val="center"/>
          </w:tcPr>
          <w:p>
            <w:pPr>
              <w:spacing w:line="300" w:lineRule="exact"/>
              <w:jc w:val="right"/>
              <w:rPr>
                <w:rFonts w:ascii="方正书宋_GBK" w:eastAsia="方正书宋_GBK"/>
                <w:b/>
                <w:color w:val="auto"/>
              </w:rPr>
            </w:pPr>
          </w:p>
        </w:tc>
        <w:tc>
          <w:tcPr>
            <w:tcW w:w="887"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rPr>
              <w:t>234.64</w:t>
            </w:r>
          </w:p>
        </w:tc>
        <w:tc>
          <w:tcPr>
            <w:tcW w:w="916"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rPr>
              <w:t>234.64</w:t>
            </w:r>
          </w:p>
        </w:tc>
        <w:tc>
          <w:tcPr>
            <w:tcW w:w="916"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rPr>
              <w:t>234.64</w:t>
            </w:r>
          </w:p>
        </w:tc>
        <w:tc>
          <w:tcPr>
            <w:tcW w:w="916" w:type="dxa"/>
            <w:vAlign w:val="center"/>
          </w:tcPr>
          <w:p>
            <w:pPr>
              <w:spacing w:line="300" w:lineRule="exact"/>
              <w:jc w:val="right"/>
              <w:rPr>
                <w:rFonts w:ascii="方正书宋_GBK" w:eastAsia="方正书宋_GBK"/>
                <w:b/>
                <w:color w:val="auto"/>
              </w:rPr>
            </w:pPr>
          </w:p>
        </w:tc>
        <w:tc>
          <w:tcPr>
            <w:tcW w:w="919" w:type="dxa"/>
            <w:vAlign w:val="center"/>
          </w:tcPr>
          <w:p>
            <w:pPr>
              <w:spacing w:line="300" w:lineRule="exact"/>
              <w:jc w:val="right"/>
              <w:rPr>
                <w:rFonts w:ascii="方正书宋_GBK" w:eastAsia="方正书宋_GBK"/>
                <w:b/>
                <w:color w:val="auto"/>
              </w:rPr>
            </w:pPr>
          </w:p>
        </w:tc>
        <w:tc>
          <w:tcPr>
            <w:tcW w:w="919" w:type="dxa"/>
            <w:vAlign w:val="center"/>
          </w:tcPr>
          <w:p>
            <w:pPr>
              <w:spacing w:line="300" w:lineRule="exact"/>
              <w:jc w:val="right"/>
              <w:rPr>
                <w:rFonts w:ascii="方正书宋_GBK" w:eastAsia="方正书宋_GBK"/>
                <w:b/>
                <w:color w:val="auto"/>
              </w:rPr>
            </w:pPr>
          </w:p>
        </w:tc>
        <w:tc>
          <w:tcPr>
            <w:tcW w:w="876"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color w:val="auto"/>
              </w:rPr>
            </w:pPr>
            <w:r>
              <w:rPr>
                <w:rFonts w:ascii="方正书宋_GBK" w:eastAsia="方正书宋_GBK"/>
                <w:color w:val="auto"/>
              </w:rPr>
              <w:t>2018</w:t>
            </w:r>
            <w:r>
              <w:rPr>
                <w:rFonts w:hint="eastAsia" w:ascii="方正书宋_GBK" w:eastAsia="方正书宋_GBK"/>
                <w:color w:val="auto"/>
              </w:rPr>
              <w:t>年两员两站项目建设</w:t>
            </w:r>
          </w:p>
        </w:tc>
        <w:tc>
          <w:tcPr>
            <w:tcW w:w="1052" w:type="dxa"/>
            <w:vAlign w:val="center"/>
          </w:tcPr>
          <w:p>
            <w:pPr>
              <w:spacing w:line="300" w:lineRule="exact"/>
              <w:jc w:val="right"/>
              <w:rPr>
                <w:rFonts w:ascii="方正书宋_GBK" w:eastAsia="方正书宋_GBK"/>
                <w:color w:val="auto"/>
              </w:rPr>
            </w:pPr>
            <w:r>
              <w:rPr>
                <w:rFonts w:ascii="方正书宋_GBK" w:eastAsia="方正书宋_GBK"/>
                <w:color w:val="auto"/>
              </w:rPr>
              <w:t>30.91</w:t>
            </w:r>
          </w:p>
        </w:tc>
        <w:tc>
          <w:tcPr>
            <w:tcW w:w="125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政法、检测专用设备</w:t>
            </w:r>
          </w:p>
        </w:tc>
        <w:tc>
          <w:tcPr>
            <w:tcW w:w="1199" w:type="dxa"/>
            <w:vAlign w:val="center"/>
          </w:tcPr>
          <w:p>
            <w:pPr>
              <w:spacing w:line="300" w:lineRule="exact"/>
              <w:jc w:val="left"/>
              <w:rPr>
                <w:rFonts w:ascii="方正书宋_GBK" w:eastAsia="方正书宋_GBK"/>
                <w:color w:val="auto"/>
              </w:rPr>
            </w:pPr>
            <w:r>
              <w:rPr>
                <w:rFonts w:ascii="方正书宋_GBK" w:eastAsia="方正书宋_GBK"/>
                <w:color w:val="auto"/>
              </w:rPr>
              <w:t>A0325</w:t>
            </w:r>
          </w:p>
        </w:tc>
        <w:tc>
          <w:tcPr>
            <w:tcW w:w="71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平米</w:t>
            </w:r>
          </w:p>
        </w:tc>
        <w:tc>
          <w:tcPr>
            <w:tcW w:w="742" w:type="dxa"/>
            <w:vAlign w:val="center"/>
          </w:tcPr>
          <w:p>
            <w:pPr>
              <w:spacing w:line="300" w:lineRule="exact"/>
              <w:jc w:val="right"/>
              <w:rPr>
                <w:rFonts w:ascii="方正书宋_GBK" w:eastAsia="方正书宋_GBK"/>
                <w:color w:val="auto"/>
              </w:rPr>
            </w:pPr>
            <w:r>
              <w:rPr>
                <w:rFonts w:ascii="方正书宋_GBK" w:eastAsia="方正书宋_GBK"/>
                <w:color w:val="auto"/>
              </w:rPr>
              <w:t>1</w:t>
            </w:r>
          </w:p>
        </w:tc>
        <w:tc>
          <w:tcPr>
            <w:tcW w:w="859" w:type="dxa"/>
            <w:vAlign w:val="center"/>
          </w:tcPr>
          <w:p>
            <w:pPr>
              <w:spacing w:line="300" w:lineRule="exact"/>
              <w:jc w:val="right"/>
              <w:rPr>
                <w:rFonts w:ascii="方正书宋_GBK" w:eastAsia="方正书宋_GBK"/>
                <w:color w:val="auto"/>
              </w:rPr>
            </w:pPr>
            <w:r>
              <w:rPr>
                <w:rFonts w:ascii="方正书宋_GBK" w:eastAsia="方正书宋_GBK"/>
                <w:color w:val="auto"/>
              </w:rPr>
              <w:t>30.91</w:t>
            </w:r>
          </w:p>
        </w:tc>
        <w:tc>
          <w:tcPr>
            <w:tcW w:w="887" w:type="dxa"/>
            <w:vAlign w:val="center"/>
          </w:tcPr>
          <w:p>
            <w:pPr>
              <w:spacing w:line="300" w:lineRule="exact"/>
              <w:jc w:val="right"/>
              <w:rPr>
                <w:rFonts w:ascii="方正书宋_GBK" w:eastAsia="方正书宋_GBK"/>
                <w:color w:val="auto"/>
              </w:rPr>
            </w:pPr>
            <w:r>
              <w:rPr>
                <w:rFonts w:ascii="方正书宋_GBK" w:eastAsia="方正书宋_GBK"/>
                <w:color w:val="auto"/>
              </w:rPr>
              <w:t>30.91</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30.91</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30.91</w:t>
            </w:r>
          </w:p>
        </w:tc>
        <w:tc>
          <w:tcPr>
            <w:tcW w:w="916"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876"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曲阳县智能限高架建设项目</w:t>
            </w:r>
          </w:p>
        </w:tc>
        <w:tc>
          <w:tcPr>
            <w:tcW w:w="1052" w:type="dxa"/>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125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政法、检测专用设备</w:t>
            </w:r>
          </w:p>
        </w:tc>
        <w:tc>
          <w:tcPr>
            <w:tcW w:w="1199" w:type="dxa"/>
            <w:vAlign w:val="center"/>
          </w:tcPr>
          <w:p>
            <w:pPr>
              <w:spacing w:line="300" w:lineRule="exact"/>
              <w:jc w:val="left"/>
              <w:rPr>
                <w:rFonts w:ascii="方正书宋_GBK" w:eastAsia="方正书宋_GBK"/>
                <w:color w:val="auto"/>
              </w:rPr>
            </w:pPr>
            <w:r>
              <w:rPr>
                <w:rFonts w:ascii="方正书宋_GBK" w:eastAsia="方正书宋_GBK"/>
                <w:color w:val="auto"/>
              </w:rPr>
              <w:t>A0325</w:t>
            </w:r>
          </w:p>
        </w:tc>
        <w:tc>
          <w:tcPr>
            <w:tcW w:w="71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个</w:t>
            </w:r>
          </w:p>
        </w:tc>
        <w:tc>
          <w:tcPr>
            <w:tcW w:w="742" w:type="dxa"/>
            <w:vAlign w:val="center"/>
          </w:tcPr>
          <w:p>
            <w:pPr>
              <w:spacing w:line="300" w:lineRule="exact"/>
              <w:jc w:val="right"/>
              <w:rPr>
                <w:rFonts w:ascii="方正书宋_GBK" w:eastAsia="方正书宋_GBK"/>
                <w:color w:val="auto"/>
              </w:rPr>
            </w:pPr>
            <w:r>
              <w:rPr>
                <w:rFonts w:ascii="方正书宋_GBK" w:eastAsia="方正书宋_GBK"/>
                <w:color w:val="auto"/>
              </w:rPr>
              <w:t>1</w:t>
            </w:r>
          </w:p>
        </w:tc>
        <w:tc>
          <w:tcPr>
            <w:tcW w:w="859" w:type="dxa"/>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887" w:type="dxa"/>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916"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876"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color w:val="auto"/>
              </w:rPr>
            </w:pPr>
            <w:r>
              <w:rPr>
                <w:rFonts w:ascii="方正书宋_GBK" w:eastAsia="方正书宋_GBK"/>
                <w:color w:val="auto"/>
              </w:rPr>
              <w:t>2019</w:t>
            </w:r>
            <w:r>
              <w:rPr>
                <w:rFonts w:hint="eastAsia" w:ascii="方正书宋_GBK" w:eastAsia="方正书宋_GBK"/>
                <w:color w:val="auto"/>
              </w:rPr>
              <w:t>年房屋修缮</w:t>
            </w:r>
          </w:p>
        </w:tc>
        <w:tc>
          <w:tcPr>
            <w:tcW w:w="1052" w:type="dxa"/>
            <w:vAlign w:val="center"/>
          </w:tcPr>
          <w:p>
            <w:pPr>
              <w:spacing w:line="300" w:lineRule="exact"/>
              <w:jc w:val="right"/>
              <w:rPr>
                <w:rFonts w:ascii="方正书宋_GBK" w:eastAsia="方正书宋_GBK"/>
                <w:color w:val="auto"/>
              </w:rPr>
            </w:pPr>
            <w:r>
              <w:rPr>
                <w:rFonts w:ascii="方正书宋_GBK" w:eastAsia="方正书宋_GBK"/>
                <w:color w:val="auto"/>
              </w:rPr>
              <w:t>33.73</w:t>
            </w:r>
          </w:p>
        </w:tc>
        <w:tc>
          <w:tcPr>
            <w:tcW w:w="125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修缮工程</w:t>
            </w:r>
          </w:p>
        </w:tc>
        <w:tc>
          <w:tcPr>
            <w:tcW w:w="1199" w:type="dxa"/>
            <w:vAlign w:val="center"/>
          </w:tcPr>
          <w:p>
            <w:pPr>
              <w:spacing w:line="300" w:lineRule="exact"/>
              <w:jc w:val="left"/>
              <w:rPr>
                <w:rFonts w:ascii="方正书宋_GBK" w:eastAsia="方正书宋_GBK"/>
                <w:color w:val="auto"/>
              </w:rPr>
            </w:pPr>
            <w:r>
              <w:rPr>
                <w:rFonts w:ascii="方正书宋_GBK" w:eastAsia="方正书宋_GBK"/>
                <w:color w:val="auto"/>
              </w:rPr>
              <w:t>B08</w:t>
            </w:r>
          </w:p>
        </w:tc>
        <w:tc>
          <w:tcPr>
            <w:tcW w:w="71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平米</w:t>
            </w:r>
          </w:p>
        </w:tc>
        <w:tc>
          <w:tcPr>
            <w:tcW w:w="742" w:type="dxa"/>
            <w:vAlign w:val="center"/>
          </w:tcPr>
          <w:p>
            <w:pPr>
              <w:spacing w:line="300" w:lineRule="exact"/>
              <w:jc w:val="right"/>
              <w:rPr>
                <w:rFonts w:ascii="方正书宋_GBK" w:eastAsia="方正书宋_GBK"/>
                <w:color w:val="auto"/>
              </w:rPr>
            </w:pPr>
            <w:r>
              <w:rPr>
                <w:rFonts w:ascii="方正书宋_GBK" w:eastAsia="方正书宋_GBK"/>
                <w:color w:val="auto"/>
              </w:rPr>
              <w:t>1</w:t>
            </w:r>
          </w:p>
        </w:tc>
        <w:tc>
          <w:tcPr>
            <w:tcW w:w="859" w:type="dxa"/>
            <w:vAlign w:val="center"/>
          </w:tcPr>
          <w:p>
            <w:pPr>
              <w:spacing w:line="300" w:lineRule="exact"/>
              <w:jc w:val="right"/>
              <w:rPr>
                <w:rFonts w:ascii="方正书宋_GBK" w:eastAsia="方正书宋_GBK"/>
                <w:color w:val="auto"/>
              </w:rPr>
            </w:pPr>
            <w:r>
              <w:rPr>
                <w:rFonts w:ascii="方正书宋_GBK" w:eastAsia="方正书宋_GBK"/>
                <w:color w:val="auto"/>
              </w:rPr>
              <w:t>33.73</w:t>
            </w:r>
          </w:p>
        </w:tc>
        <w:tc>
          <w:tcPr>
            <w:tcW w:w="887" w:type="dxa"/>
            <w:vAlign w:val="center"/>
          </w:tcPr>
          <w:p>
            <w:pPr>
              <w:spacing w:line="300" w:lineRule="exact"/>
              <w:jc w:val="right"/>
              <w:rPr>
                <w:rFonts w:ascii="方正书宋_GBK" w:eastAsia="方正书宋_GBK"/>
                <w:color w:val="auto"/>
              </w:rPr>
            </w:pPr>
            <w:r>
              <w:rPr>
                <w:rFonts w:ascii="方正书宋_GBK" w:eastAsia="方正书宋_GBK"/>
                <w:color w:val="auto"/>
              </w:rPr>
              <w:t>33.73</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33.73</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33.73</w:t>
            </w:r>
          </w:p>
        </w:tc>
        <w:tc>
          <w:tcPr>
            <w:tcW w:w="916"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876"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交警办公经费项目支出</w:t>
            </w:r>
          </w:p>
        </w:tc>
        <w:tc>
          <w:tcPr>
            <w:tcW w:w="1052" w:type="dxa"/>
            <w:vAlign w:val="center"/>
          </w:tcPr>
          <w:p>
            <w:pPr>
              <w:spacing w:line="300" w:lineRule="exact"/>
              <w:jc w:val="right"/>
              <w:rPr>
                <w:rFonts w:ascii="方正书宋_GBK" w:eastAsia="方正书宋_GBK"/>
                <w:color w:val="auto"/>
              </w:rPr>
            </w:pPr>
            <w:r>
              <w:rPr>
                <w:rFonts w:ascii="方正书宋_GBK" w:eastAsia="方正书宋_GBK"/>
                <w:color w:val="auto"/>
              </w:rPr>
              <w:t>24.00</w:t>
            </w:r>
          </w:p>
        </w:tc>
        <w:tc>
          <w:tcPr>
            <w:tcW w:w="125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警车</w:t>
            </w:r>
          </w:p>
        </w:tc>
        <w:tc>
          <w:tcPr>
            <w:tcW w:w="1199" w:type="dxa"/>
            <w:vAlign w:val="center"/>
          </w:tcPr>
          <w:p>
            <w:pPr>
              <w:spacing w:line="300" w:lineRule="exact"/>
              <w:jc w:val="left"/>
              <w:rPr>
                <w:rFonts w:ascii="方正书宋_GBK" w:eastAsia="方正书宋_GBK"/>
                <w:color w:val="auto"/>
              </w:rPr>
            </w:pPr>
            <w:r>
              <w:rPr>
                <w:rFonts w:ascii="方正书宋_GBK" w:eastAsia="方正书宋_GBK"/>
                <w:color w:val="auto"/>
              </w:rPr>
              <w:t>A02030709</w:t>
            </w:r>
          </w:p>
        </w:tc>
        <w:tc>
          <w:tcPr>
            <w:tcW w:w="71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辆</w:t>
            </w:r>
          </w:p>
        </w:tc>
        <w:tc>
          <w:tcPr>
            <w:tcW w:w="742" w:type="dxa"/>
            <w:vAlign w:val="center"/>
          </w:tcPr>
          <w:p>
            <w:pPr>
              <w:spacing w:line="300" w:lineRule="exact"/>
              <w:jc w:val="right"/>
              <w:rPr>
                <w:rFonts w:ascii="方正书宋_GBK" w:eastAsia="方正书宋_GBK"/>
                <w:color w:val="auto"/>
              </w:rPr>
            </w:pPr>
            <w:r>
              <w:rPr>
                <w:rFonts w:ascii="方正书宋_GBK" w:eastAsia="方正书宋_GBK"/>
                <w:color w:val="auto"/>
              </w:rPr>
              <w:t>3</w:t>
            </w:r>
          </w:p>
        </w:tc>
        <w:tc>
          <w:tcPr>
            <w:tcW w:w="859" w:type="dxa"/>
            <w:vAlign w:val="center"/>
          </w:tcPr>
          <w:p>
            <w:pPr>
              <w:spacing w:line="300" w:lineRule="exact"/>
              <w:jc w:val="right"/>
              <w:rPr>
                <w:rFonts w:ascii="方正书宋_GBK" w:eastAsia="方正书宋_GBK"/>
                <w:color w:val="auto"/>
              </w:rPr>
            </w:pPr>
            <w:r>
              <w:rPr>
                <w:rFonts w:ascii="方正书宋_GBK" w:eastAsia="方正书宋_GBK"/>
                <w:color w:val="auto"/>
              </w:rPr>
              <w:t>8.00</w:t>
            </w:r>
          </w:p>
        </w:tc>
        <w:tc>
          <w:tcPr>
            <w:tcW w:w="887" w:type="dxa"/>
            <w:vAlign w:val="center"/>
          </w:tcPr>
          <w:p>
            <w:pPr>
              <w:spacing w:line="300" w:lineRule="exact"/>
              <w:jc w:val="right"/>
              <w:rPr>
                <w:rFonts w:ascii="方正书宋_GBK" w:eastAsia="方正书宋_GBK"/>
                <w:color w:val="auto"/>
              </w:rPr>
            </w:pPr>
            <w:r>
              <w:rPr>
                <w:rFonts w:ascii="方正书宋_GBK" w:eastAsia="方正书宋_GBK"/>
                <w:color w:val="auto"/>
              </w:rPr>
              <w:t>24.00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24.00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24.00</w:t>
            </w:r>
          </w:p>
        </w:tc>
        <w:tc>
          <w:tcPr>
            <w:tcW w:w="916"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876"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各工作委员会活动经费</w:t>
            </w:r>
          </w:p>
        </w:tc>
        <w:tc>
          <w:tcPr>
            <w:tcW w:w="1052" w:type="dxa"/>
            <w:vAlign w:val="center"/>
          </w:tcPr>
          <w:p>
            <w:pPr>
              <w:spacing w:line="300" w:lineRule="exact"/>
              <w:jc w:val="right"/>
              <w:rPr>
                <w:rFonts w:ascii="方正书宋_GBK" w:eastAsia="方正书宋_GBK"/>
                <w:color w:val="auto"/>
              </w:rPr>
            </w:pPr>
            <w:r>
              <w:rPr>
                <w:rFonts w:ascii="方正书宋_GBK" w:eastAsia="方正书宋_GBK"/>
                <w:color w:val="auto"/>
              </w:rPr>
              <w:t>350.00</w:t>
            </w:r>
          </w:p>
        </w:tc>
        <w:tc>
          <w:tcPr>
            <w:tcW w:w="125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打印设备</w:t>
            </w:r>
          </w:p>
        </w:tc>
        <w:tc>
          <w:tcPr>
            <w:tcW w:w="1199" w:type="dxa"/>
            <w:vAlign w:val="center"/>
          </w:tcPr>
          <w:p>
            <w:pPr>
              <w:spacing w:line="300" w:lineRule="exact"/>
              <w:jc w:val="left"/>
              <w:rPr>
                <w:rFonts w:ascii="方正书宋_GBK" w:eastAsia="方正书宋_GBK"/>
                <w:color w:val="auto"/>
              </w:rPr>
            </w:pPr>
            <w:r>
              <w:rPr>
                <w:rFonts w:ascii="方正书宋_GBK" w:eastAsia="方正书宋_GBK"/>
                <w:color w:val="auto"/>
              </w:rPr>
              <w:t>A02010601</w:t>
            </w:r>
          </w:p>
        </w:tc>
        <w:tc>
          <w:tcPr>
            <w:tcW w:w="71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台</w:t>
            </w:r>
          </w:p>
        </w:tc>
        <w:tc>
          <w:tcPr>
            <w:tcW w:w="742"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59"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87"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16"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876"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color w:val="auto"/>
              </w:rPr>
            </w:pPr>
            <w:r>
              <w:rPr>
                <w:rFonts w:ascii="方正书宋_GBK" w:eastAsia="方正书宋_GBK"/>
                <w:color w:val="auto"/>
              </w:rPr>
              <w:t>2019</w:t>
            </w:r>
            <w:r>
              <w:rPr>
                <w:rFonts w:hint="eastAsia" w:ascii="方正书宋_GBK" w:eastAsia="方正书宋_GBK"/>
                <w:color w:val="auto"/>
              </w:rPr>
              <w:t>年转移支付资金装备经费</w:t>
            </w:r>
          </w:p>
        </w:tc>
        <w:tc>
          <w:tcPr>
            <w:tcW w:w="1052" w:type="dxa"/>
            <w:vAlign w:val="center"/>
          </w:tcPr>
          <w:p>
            <w:pPr>
              <w:spacing w:line="300" w:lineRule="exact"/>
              <w:jc w:val="right"/>
              <w:rPr>
                <w:rFonts w:ascii="方正书宋_GBK" w:eastAsia="方正书宋_GBK"/>
                <w:color w:val="auto"/>
              </w:rPr>
            </w:pPr>
            <w:r>
              <w:rPr>
                <w:rFonts w:ascii="方正书宋_GBK" w:eastAsia="方正书宋_GBK"/>
                <w:color w:val="auto"/>
              </w:rPr>
              <w:t>46.00</w:t>
            </w:r>
          </w:p>
        </w:tc>
        <w:tc>
          <w:tcPr>
            <w:tcW w:w="125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政法、检测专用设备</w:t>
            </w:r>
          </w:p>
        </w:tc>
        <w:tc>
          <w:tcPr>
            <w:tcW w:w="1199" w:type="dxa"/>
            <w:vAlign w:val="center"/>
          </w:tcPr>
          <w:p>
            <w:pPr>
              <w:spacing w:line="300" w:lineRule="exact"/>
              <w:jc w:val="left"/>
              <w:rPr>
                <w:rFonts w:ascii="方正书宋_GBK" w:eastAsia="方正书宋_GBK"/>
                <w:color w:val="auto"/>
              </w:rPr>
            </w:pPr>
            <w:r>
              <w:rPr>
                <w:rFonts w:ascii="方正书宋_GBK" w:eastAsia="方正书宋_GBK"/>
                <w:color w:val="auto"/>
              </w:rPr>
              <w:t>A0325</w:t>
            </w:r>
          </w:p>
        </w:tc>
        <w:tc>
          <w:tcPr>
            <w:tcW w:w="71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套</w:t>
            </w:r>
          </w:p>
        </w:tc>
        <w:tc>
          <w:tcPr>
            <w:tcW w:w="742" w:type="dxa"/>
            <w:vAlign w:val="center"/>
          </w:tcPr>
          <w:p>
            <w:pPr>
              <w:spacing w:line="300" w:lineRule="exact"/>
              <w:jc w:val="right"/>
              <w:rPr>
                <w:rFonts w:ascii="方正书宋_GBK" w:eastAsia="方正书宋_GBK"/>
                <w:color w:val="auto"/>
              </w:rPr>
            </w:pPr>
            <w:r>
              <w:rPr>
                <w:rFonts w:ascii="方正书宋_GBK" w:eastAsia="方正书宋_GBK"/>
                <w:color w:val="auto"/>
              </w:rPr>
              <w:t>1</w:t>
            </w:r>
          </w:p>
        </w:tc>
        <w:tc>
          <w:tcPr>
            <w:tcW w:w="859" w:type="dxa"/>
            <w:vAlign w:val="center"/>
          </w:tcPr>
          <w:p>
            <w:pPr>
              <w:spacing w:line="300" w:lineRule="exact"/>
              <w:jc w:val="right"/>
              <w:rPr>
                <w:rFonts w:ascii="方正书宋_GBK" w:eastAsia="方正书宋_GBK"/>
                <w:color w:val="auto"/>
              </w:rPr>
            </w:pPr>
            <w:r>
              <w:rPr>
                <w:rFonts w:ascii="方正书宋_GBK" w:eastAsia="方正书宋_GBK"/>
                <w:color w:val="auto"/>
              </w:rPr>
              <w:t>46.00</w:t>
            </w:r>
          </w:p>
        </w:tc>
        <w:tc>
          <w:tcPr>
            <w:tcW w:w="887" w:type="dxa"/>
            <w:vAlign w:val="center"/>
          </w:tcPr>
          <w:p>
            <w:pPr>
              <w:spacing w:line="300" w:lineRule="exact"/>
              <w:jc w:val="right"/>
              <w:rPr>
                <w:rFonts w:ascii="方正书宋_GBK" w:eastAsia="方正书宋_GBK"/>
                <w:color w:val="auto"/>
              </w:rPr>
            </w:pPr>
            <w:r>
              <w:rPr>
                <w:rFonts w:ascii="方正书宋_GBK" w:eastAsia="方正书宋_GBK"/>
                <w:color w:val="auto"/>
              </w:rPr>
              <w:t>46.00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46.00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46.00</w:t>
            </w:r>
          </w:p>
        </w:tc>
        <w:tc>
          <w:tcPr>
            <w:tcW w:w="916"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876"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曲阳县公安局交通管理大队（罚没）小计</w:t>
            </w:r>
          </w:p>
        </w:tc>
        <w:tc>
          <w:tcPr>
            <w:tcW w:w="1052" w:type="dxa"/>
            <w:vAlign w:val="center"/>
          </w:tcPr>
          <w:p>
            <w:pPr>
              <w:spacing w:line="300" w:lineRule="exact"/>
              <w:jc w:val="right"/>
              <w:rPr>
                <w:rFonts w:ascii="方正书宋_GBK" w:eastAsia="方正书宋_GBK"/>
                <w:b/>
                <w:color w:val="auto"/>
              </w:rPr>
            </w:pPr>
          </w:p>
        </w:tc>
        <w:tc>
          <w:tcPr>
            <w:tcW w:w="1252" w:type="dxa"/>
            <w:vAlign w:val="center"/>
          </w:tcPr>
          <w:p>
            <w:pPr>
              <w:spacing w:line="300" w:lineRule="exact"/>
              <w:jc w:val="left"/>
              <w:rPr>
                <w:rFonts w:ascii="方正书宋_GBK" w:eastAsia="方正书宋_GBK"/>
                <w:b/>
                <w:color w:val="auto"/>
              </w:rPr>
            </w:pPr>
          </w:p>
        </w:tc>
        <w:tc>
          <w:tcPr>
            <w:tcW w:w="1199" w:type="dxa"/>
            <w:vAlign w:val="center"/>
          </w:tcPr>
          <w:p>
            <w:pPr>
              <w:spacing w:line="300" w:lineRule="exact"/>
              <w:jc w:val="left"/>
              <w:rPr>
                <w:rFonts w:ascii="方正书宋_GBK" w:eastAsia="方正书宋_GBK"/>
                <w:b/>
                <w:color w:val="auto"/>
              </w:rPr>
            </w:pPr>
          </w:p>
        </w:tc>
        <w:tc>
          <w:tcPr>
            <w:tcW w:w="714" w:type="dxa"/>
            <w:vAlign w:val="center"/>
          </w:tcPr>
          <w:p>
            <w:pPr>
              <w:spacing w:line="300" w:lineRule="exact"/>
              <w:jc w:val="left"/>
              <w:rPr>
                <w:rFonts w:ascii="方正书宋_GBK" w:eastAsia="方正书宋_GBK"/>
                <w:b/>
                <w:color w:val="auto"/>
              </w:rPr>
            </w:pPr>
          </w:p>
        </w:tc>
        <w:tc>
          <w:tcPr>
            <w:tcW w:w="742" w:type="dxa"/>
            <w:vAlign w:val="center"/>
          </w:tcPr>
          <w:p>
            <w:pPr>
              <w:spacing w:line="300" w:lineRule="exact"/>
              <w:jc w:val="right"/>
              <w:rPr>
                <w:rFonts w:ascii="方正书宋_GBK" w:eastAsia="方正书宋_GBK"/>
                <w:b/>
                <w:color w:val="auto"/>
              </w:rPr>
            </w:pPr>
          </w:p>
        </w:tc>
        <w:tc>
          <w:tcPr>
            <w:tcW w:w="859" w:type="dxa"/>
            <w:vAlign w:val="center"/>
          </w:tcPr>
          <w:p>
            <w:pPr>
              <w:spacing w:line="300" w:lineRule="exact"/>
              <w:jc w:val="right"/>
              <w:rPr>
                <w:rFonts w:ascii="方正书宋_GBK" w:eastAsia="方正书宋_GBK"/>
                <w:b/>
                <w:color w:val="auto"/>
              </w:rPr>
            </w:pPr>
          </w:p>
        </w:tc>
        <w:tc>
          <w:tcPr>
            <w:tcW w:w="887" w:type="dxa"/>
            <w:vAlign w:val="center"/>
          </w:tcPr>
          <w:p>
            <w:pPr>
              <w:spacing w:line="300" w:lineRule="exact"/>
              <w:jc w:val="right"/>
              <w:rPr>
                <w:rFonts w:ascii="方正书宋_GBK" w:eastAsia="方正书宋_GBK"/>
                <w:b/>
                <w:color w:val="auto"/>
              </w:rPr>
            </w:pPr>
            <w:r>
              <w:rPr>
                <w:rFonts w:ascii="方正书宋_GBK" w:eastAsia="方正书宋_GBK"/>
                <w:b/>
                <w:color w:val="auto"/>
              </w:rPr>
              <w:t>555.27</w:t>
            </w:r>
          </w:p>
        </w:tc>
        <w:tc>
          <w:tcPr>
            <w:tcW w:w="916" w:type="dxa"/>
            <w:vAlign w:val="center"/>
          </w:tcPr>
          <w:p>
            <w:pPr>
              <w:spacing w:line="300" w:lineRule="exact"/>
              <w:jc w:val="right"/>
              <w:rPr>
                <w:rFonts w:ascii="方正书宋_GBK" w:eastAsia="方正书宋_GBK"/>
                <w:b/>
                <w:color w:val="auto"/>
              </w:rPr>
            </w:pPr>
            <w:r>
              <w:rPr>
                <w:rFonts w:ascii="方正书宋_GBK" w:eastAsia="方正书宋_GBK"/>
                <w:b/>
                <w:color w:val="auto"/>
              </w:rPr>
              <w:t>555.27</w:t>
            </w:r>
          </w:p>
        </w:tc>
        <w:tc>
          <w:tcPr>
            <w:tcW w:w="916" w:type="dxa"/>
            <w:vAlign w:val="center"/>
          </w:tcPr>
          <w:p>
            <w:pPr>
              <w:spacing w:line="300" w:lineRule="exact"/>
              <w:jc w:val="right"/>
              <w:rPr>
                <w:rFonts w:ascii="方正书宋_GBK" w:eastAsia="方正书宋_GBK"/>
                <w:b/>
                <w:color w:val="auto"/>
              </w:rPr>
            </w:pPr>
            <w:r>
              <w:rPr>
                <w:rFonts w:ascii="方正书宋_GBK" w:eastAsia="方正书宋_GBK"/>
                <w:b/>
                <w:color w:val="auto"/>
              </w:rPr>
              <w:t>555.27</w:t>
            </w:r>
          </w:p>
        </w:tc>
        <w:tc>
          <w:tcPr>
            <w:tcW w:w="916"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876"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color w:val="auto"/>
              </w:rPr>
            </w:pPr>
            <w:r>
              <w:rPr>
                <w:rFonts w:ascii="方正书宋_GBK" w:eastAsia="方正书宋_GBK"/>
                <w:color w:val="auto"/>
              </w:rPr>
              <w:t>2019</w:t>
            </w:r>
            <w:r>
              <w:rPr>
                <w:rFonts w:hint="eastAsia" w:ascii="方正书宋_GBK" w:eastAsia="方正书宋_GBK"/>
                <w:color w:val="auto"/>
              </w:rPr>
              <w:t>年城区标线项目</w:t>
            </w:r>
          </w:p>
        </w:tc>
        <w:tc>
          <w:tcPr>
            <w:tcW w:w="1052" w:type="dxa"/>
            <w:vAlign w:val="center"/>
          </w:tcPr>
          <w:p>
            <w:pPr>
              <w:spacing w:line="300" w:lineRule="exact"/>
              <w:jc w:val="right"/>
              <w:rPr>
                <w:rFonts w:ascii="方正书宋_GBK" w:eastAsia="方正书宋_GBK"/>
                <w:color w:val="auto"/>
              </w:rPr>
            </w:pPr>
            <w:r>
              <w:rPr>
                <w:rFonts w:ascii="方正书宋_GBK" w:eastAsia="方正书宋_GBK"/>
                <w:color w:val="auto"/>
              </w:rPr>
              <w:t>174.81</w:t>
            </w:r>
          </w:p>
        </w:tc>
        <w:tc>
          <w:tcPr>
            <w:tcW w:w="125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市政公共设施管理服务</w:t>
            </w:r>
          </w:p>
        </w:tc>
        <w:tc>
          <w:tcPr>
            <w:tcW w:w="1199" w:type="dxa"/>
            <w:vAlign w:val="center"/>
          </w:tcPr>
          <w:p>
            <w:pPr>
              <w:spacing w:line="300" w:lineRule="exact"/>
              <w:jc w:val="left"/>
              <w:rPr>
                <w:rFonts w:ascii="方正书宋_GBK" w:eastAsia="方正书宋_GBK"/>
                <w:color w:val="auto"/>
              </w:rPr>
            </w:pPr>
            <w:r>
              <w:rPr>
                <w:rFonts w:ascii="方正书宋_GBK" w:eastAsia="方正书宋_GBK"/>
                <w:color w:val="auto"/>
              </w:rPr>
              <w:t>C1302</w:t>
            </w:r>
          </w:p>
        </w:tc>
        <w:tc>
          <w:tcPr>
            <w:tcW w:w="71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平米</w:t>
            </w:r>
          </w:p>
        </w:tc>
        <w:tc>
          <w:tcPr>
            <w:tcW w:w="742" w:type="dxa"/>
            <w:vAlign w:val="center"/>
          </w:tcPr>
          <w:p>
            <w:pPr>
              <w:spacing w:line="300" w:lineRule="exact"/>
              <w:jc w:val="right"/>
              <w:rPr>
                <w:rFonts w:ascii="方正书宋_GBK" w:eastAsia="方正书宋_GBK"/>
                <w:color w:val="auto"/>
              </w:rPr>
            </w:pPr>
            <w:r>
              <w:rPr>
                <w:rFonts w:ascii="方正书宋_GBK" w:eastAsia="方正书宋_GBK"/>
                <w:color w:val="auto"/>
              </w:rPr>
              <w:t>1</w:t>
            </w:r>
          </w:p>
        </w:tc>
        <w:tc>
          <w:tcPr>
            <w:tcW w:w="859" w:type="dxa"/>
            <w:vAlign w:val="center"/>
          </w:tcPr>
          <w:p>
            <w:pPr>
              <w:spacing w:line="300" w:lineRule="exact"/>
              <w:jc w:val="right"/>
              <w:rPr>
                <w:rFonts w:ascii="方正书宋_GBK" w:eastAsia="方正书宋_GBK"/>
                <w:color w:val="auto"/>
              </w:rPr>
            </w:pPr>
            <w:r>
              <w:rPr>
                <w:rFonts w:ascii="方正书宋_GBK" w:eastAsia="方正书宋_GBK"/>
                <w:color w:val="auto"/>
              </w:rPr>
              <w:t>174.81</w:t>
            </w:r>
          </w:p>
        </w:tc>
        <w:tc>
          <w:tcPr>
            <w:tcW w:w="887" w:type="dxa"/>
            <w:vAlign w:val="center"/>
          </w:tcPr>
          <w:p>
            <w:pPr>
              <w:spacing w:line="300" w:lineRule="exact"/>
              <w:jc w:val="right"/>
              <w:rPr>
                <w:rFonts w:ascii="方正书宋_GBK" w:eastAsia="方正书宋_GBK"/>
                <w:color w:val="auto"/>
              </w:rPr>
            </w:pPr>
            <w:r>
              <w:rPr>
                <w:rFonts w:ascii="方正书宋_GBK" w:eastAsia="方正书宋_GBK"/>
                <w:color w:val="auto"/>
              </w:rPr>
              <w:t>174.81</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174.81</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174.81</w:t>
            </w:r>
          </w:p>
        </w:tc>
        <w:tc>
          <w:tcPr>
            <w:tcW w:w="916"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876"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color w:val="auto"/>
              </w:rPr>
            </w:pPr>
            <w:r>
              <w:rPr>
                <w:rFonts w:ascii="方正书宋_GBK" w:eastAsia="方正书宋_GBK"/>
                <w:color w:val="auto"/>
              </w:rPr>
              <w:t>2019</w:t>
            </w:r>
            <w:r>
              <w:rPr>
                <w:rFonts w:hint="eastAsia" w:ascii="方正书宋_GBK" w:eastAsia="方正书宋_GBK"/>
                <w:color w:val="auto"/>
              </w:rPr>
              <w:t>年交警专项业务费支出</w:t>
            </w:r>
          </w:p>
        </w:tc>
        <w:tc>
          <w:tcPr>
            <w:tcW w:w="1052" w:type="dxa"/>
            <w:vAlign w:val="center"/>
          </w:tcPr>
          <w:p>
            <w:pPr>
              <w:spacing w:line="300" w:lineRule="exact"/>
              <w:jc w:val="right"/>
              <w:rPr>
                <w:rFonts w:ascii="方正书宋_GBK" w:eastAsia="方正书宋_GBK"/>
                <w:color w:val="auto"/>
              </w:rPr>
            </w:pPr>
            <w:r>
              <w:rPr>
                <w:rFonts w:ascii="方正书宋_GBK" w:eastAsia="方正书宋_GBK"/>
                <w:color w:val="auto"/>
              </w:rPr>
              <w:t>386.30</w:t>
            </w:r>
          </w:p>
        </w:tc>
        <w:tc>
          <w:tcPr>
            <w:tcW w:w="125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办公消耗用品及类似物品</w:t>
            </w:r>
          </w:p>
        </w:tc>
        <w:tc>
          <w:tcPr>
            <w:tcW w:w="1199" w:type="dxa"/>
            <w:vAlign w:val="center"/>
          </w:tcPr>
          <w:p>
            <w:pPr>
              <w:spacing w:line="300" w:lineRule="exact"/>
              <w:jc w:val="left"/>
              <w:rPr>
                <w:rFonts w:ascii="方正书宋_GBK" w:eastAsia="方正书宋_GBK"/>
                <w:color w:val="auto"/>
              </w:rPr>
            </w:pPr>
            <w:r>
              <w:rPr>
                <w:rFonts w:ascii="方正书宋_GBK" w:eastAsia="方正书宋_GBK"/>
                <w:color w:val="auto"/>
              </w:rPr>
              <w:t>A09</w:t>
            </w:r>
          </w:p>
        </w:tc>
        <w:tc>
          <w:tcPr>
            <w:tcW w:w="71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张</w:t>
            </w:r>
          </w:p>
        </w:tc>
        <w:tc>
          <w:tcPr>
            <w:tcW w:w="742" w:type="dxa"/>
            <w:vAlign w:val="center"/>
          </w:tcPr>
          <w:p>
            <w:pPr>
              <w:spacing w:line="300" w:lineRule="exact"/>
              <w:jc w:val="right"/>
              <w:rPr>
                <w:rFonts w:ascii="方正书宋_GBK" w:eastAsia="方正书宋_GBK"/>
                <w:color w:val="auto"/>
              </w:rPr>
            </w:pPr>
            <w:r>
              <w:rPr>
                <w:rFonts w:ascii="方正书宋_GBK" w:eastAsia="方正书宋_GBK"/>
                <w:color w:val="auto"/>
              </w:rPr>
              <w:t>1</w:t>
            </w:r>
          </w:p>
        </w:tc>
        <w:tc>
          <w:tcPr>
            <w:tcW w:w="859" w:type="dxa"/>
            <w:vAlign w:val="center"/>
          </w:tcPr>
          <w:p>
            <w:pPr>
              <w:spacing w:line="300" w:lineRule="exact"/>
              <w:jc w:val="right"/>
              <w:rPr>
                <w:rFonts w:ascii="方正书宋_GBK" w:eastAsia="方正书宋_GBK"/>
                <w:color w:val="auto"/>
              </w:rPr>
            </w:pPr>
            <w:r>
              <w:rPr>
                <w:rFonts w:ascii="方正书宋_GBK" w:eastAsia="方正书宋_GBK"/>
                <w:color w:val="auto"/>
              </w:rPr>
              <w:t>9.05</w:t>
            </w:r>
          </w:p>
        </w:tc>
        <w:tc>
          <w:tcPr>
            <w:tcW w:w="887" w:type="dxa"/>
            <w:vAlign w:val="center"/>
          </w:tcPr>
          <w:p>
            <w:pPr>
              <w:spacing w:line="300" w:lineRule="exact"/>
              <w:jc w:val="right"/>
              <w:rPr>
                <w:rFonts w:ascii="方正书宋_GBK" w:eastAsia="方正书宋_GBK"/>
                <w:color w:val="auto"/>
              </w:rPr>
            </w:pPr>
            <w:r>
              <w:rPr>
                <w:rFonts w:ascii="方正书宋_GBK" w:eastAsia="方正书宋_GBK"/>
                <w:color w:val="auto"/>
              </w:rPr>
              <w:t>9.05</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9.05</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9.05</w:t>
            </w:r>
          </w:p>
        </w:tc>
        <w:tc>
          <w:tcPr>
            <w:tcW w:w="916"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876"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color w:val="auto"/>
              </w:rPr>
            </w:pPr>
            <w:r>
              <w:rPr>
                <w:rFonts w:ascii="方正书宋_GBK" w:eastAsia="方正书宋_GBK"/>
                <w:color w:val="auto"/>
              </w:rPr>
              <w:t>2019</w:t>
            </w:r>
            <w:r>
              <w:rPr>
                <w:rFonts w:hint="eastAsia" w:ascii="方正书宋_GBK" w:eastAsia="方正书宋_GBK"/>
                <w:color w:val="auto"/>
              </w:rPr>
              <w:t>年交警专项业务费支出</w:t>
            </w:r>
          </w:p>
        </w:tc>
        <w:tc>
          <w:tcPr>
            <w:tcW w:w="1052" w:type="dxa"/>
            <w:vAlign w:val="center"/>
          </w:tcPr>
          <w:p>
            <w:pPr>
              <w:spacing w:line="300" w:lineRule="exact"/>
              <w:jc w:val="right"/>
              <w:rPr>
                <w:rFonts w:ascii="方正书宋_GBK" w:eastAsia="方正书宋_GBK"/>
                <w:color w:val="auto"/>
              </w:rPr>
            </w:pPr>
            <w:r>
              <w:rPr>
                <w:rFonts w:ascii="方正书宋_GBK" w:eastAsia="方正书宋_GBK"/>
                <w:color w:val="auto"/>
              </w:rPr>
              <w:t>386.30</w:t>
            </w:r>
          </w:p>
        </w:tc>
        <w:tc>
          <w:tcPr>
            <w:tcW w:w="125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办公消耗用品及类似物品</w:t>
            </w:r>
          </w:p>
        </w:tc>
        <w:tc>
          <w:tcPr>
            <w:tcW w:w="1199" w:type="dxa"/>
            <w:vAlign w:val="center"/>
          </w:tcPr>
          <w:p>
            <w:pPr>
              <w:spacing w:line="300" w:lineRule="exact"/>
              <w:jc w:val="left"/>
              <w:rPr>
                <w:rFonts w:ascii="方正书宋_GBK" w:eastAsia="方正书宋_GBK"/>
                <w:color w:val="auto"/>
              </w:rPr>
            </w:pPr>
            <w:r>
              <w:rPr>
                <w:rFonts w:ascii="方正书宋_GBK" w:eastAsia="方正书宋_GBK"/>
                <w:color w:val="auto"/>
              </w:rPr>
              <w:t>A09</w:t>
            </w:r>
          </w:p>
        </w:tc>
        <w:tc>
          <w:tcPr>
            <w:tcW w:w="71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套</w:t>
            </w:r>
          </w:p>
        </w:tc>
        <w:tc>
          <w:tcPr>
            <w:tcW w:w="742" w:type="dxa"/>
            <w:vAlign w:val="center"/>
          </w:tcPr>
          <w:p>
            <w:pPr>
              <w:spacing w:line="300" w:lineRule="exact"/>
              <w:jc w:val="right"/>
              <w:rPr>
                <w:rFonts w:ascii="方正书宋_GBK" w:eastAsia="方正书宋_GBK"/>
                <w:color w:val="auto"/>
              </w:rPr>
            </w:pPr>
            <w:r>
              <w:rPr>
                <w:rFonts w:ascii="方正书宋_GBK" w:eastAsia="方正书宋_GBK"/>
                <w:color w:val="auto"/>
              </w:rPr>
              <w:t>1</w:t>
            </w:r>
          </w:p>
        </w:tc>
        <w:tc>
          <w:tcPr>
            <w:tcW w:w="859" w:type="dxa"/>
            <w:vAlign w:val="center"/>
          </w:tcPr>
          <w:p>
            <w:pPr>
              <w:spacing w:line="300" w:lineRule="exact"/>
              <w:jc w:val="right"/>
              <w:rPr>
                <w:rFonts w:ascii="方正书宋_GBK" w:eastAsia="方正书宋_GBK"/>
                <w:color w:val="auto"/>
              </w:rPr>
            </w:pPr>
            <w:r>
              <w:rPr>
                <w:rFonts w:ascii="方正书宋_GBK" w:eastAsia="方正书宋_GBK"/>
                <w:color w:val="auto"/>
              </w:rPr>
              <w:t>25.00</w:t>
            </w:r>
          </w:p>
        </w:tc>
        <w:tc>
          <w:tcPr>
            <w:tcW w:w="887" w:type="dxa"/>
            <w:vAlign w:val="center"/>
          </w:tcPr>
          <w:p>
            <w:pPr>
              <w:spacing w:line="300" w:lineRule="exact"/>
              <w:jc w:val="right"/>
              <w:rPr>
                <w:rFonts w:ascii="方正书宋_GBK" w:eastAsia="方正书宋_GBK"/>
                <w:color w:val="auto"/>
              </w:rPr>
            </w:pPr>
            <w:r>
              <w:rPr>
                <w:rFonts w:ascii="方正书宋_GBK" w:eastAsia="方正书宋_GBK"/>
                <w:color w:val="auto"/>
              </w:rPr>
              <w:t>25.00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25.00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25.00</w:t>
            </w:r>
          </w:p>
        </w:tc>
        <w:tc>
          <w:tcPr>
            <w:tcW w:w="916"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876"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color w:val="auto"/>
              </w:rPr>
            </w:pPr>
            <w:r>
              <w:rPr>
                <w:rFonts w:ascii="方正书宋_GBK" w:eastAsia="方正书宋_GBK"/>
                <w:color w:val="auto"/>
              </w:rPr>
              <w:t>2019</w:t>
            </w:r>
            <w:r>
              <w:rPr>
                <w:rFonts w:hint="eastAsia" w:ascii="方正书宋_GBK" w:eastAsia="方正书宋_GBK"/>
                <w:color w:val="auto"/>
              </w:rPr>
              <w:t>年交警专项业务费支出</w:t>
            </w:r>
          </w:p>
        </w:tc>
        <w:tc>
          <w:tcPr>
            <w:tcW w:w="1052" w:type="dxa"/>
            <w:vAlign w:val="center"/>
          </w:tcPr>
          <w:p>
            <w:pPr>
              <w:spacing w:line="300" w:lineRule="exact"/>
              <w:jc w:val="right"/>
              <w:rPr>
                <w:rFonts w:ascii="方正书宋_GBK" w:eastAsia="方正书宋_GBK"/>
                <w:color w:val="auto"/>
              </w:rPr>
            </w:pPr>
            <w:r>
              <w:rPr>
                <w:rFonts w:ascii="方正书宋_GBK" w:eastAsia="方正书宋_GBK"/>
                <w:color w:val="auto"/>
              </w:rPr>
              <w:t>386.30</w:t>
            </w:r>
          </w:p>
        </w:tc>
        <w:tc>
          <w:tcPr>
            <w:tcW w:w="125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车辆设备维修和保养服务</w:t>
            </w:r>
          </w:p>
        </w:tc>
        <w:tc>
          <w:tcPr>
            <w:tcW w:w="1199" w:type="dxa"/>
            <w:vAlign w:val="center"/>
          </w:tcPr>
          <w:p>
            <w:pPr>
              <w:spacing w:line="300" w:lineRule="exact"/>
              <w:jc w:val="left"/>
              <w:rPr>
                <w:rFonts w:ascii="方正书宋_GBK" w:eastAsia="方正书宋_GBK"/>
                <w:color w:val="auto"/>
              </w:rPr>
            </w:pPr>
            <w:r>
              <w:rPr>
                <w:rFonts w:ascii="方正书宋_GBK" w:eastAsia="方正书宋_GBK"/>
                <w:color w:val="auto"/>
              </w:rPr>
              <w:t>C0503</w:t>
            </w:r>
          </w:p>
        </w:tc>
        <w:tc>
          <w:tcPr>
            <w:tcW w:w="71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升</w:t>
            </w:r>
          </w:p>
        </w:tc>
        <w:tc>
          <w:tcPr>
            <w:tcW w:w="742" w:type="dxa"/>
            <w:vAlign w:val="center"/>
          </w:tcPr>
          <w:p>
            <w:pPr>
              <w:spacing w:line="300" w:lineRule="exact"/>
              <w:jc w:val="right"/>
              <w:rPr>
                <w:rFonts w:ascii="方正书宋_GBK" w:eastAsia="方正书宋_GBK"/>
                <w:color w:val="auto"/>
              </w:rPr>
            </w:pPr>
            <w:r>
              <w:rPr>
                <w:rFonts w:ascii="方正书宋_GBK" w:eastAsia="方正书宋_GBK"/>
                <w:color w:val="auto"/>
              </w:rPr>
              <w:t>1</w:t>
            </w:r>
          </w:p>
        </w:tc>
        <w:tc>
          <w:tcPr>
            <w:tcW w:w="859" w:type="dxa"/>
            <w:vAlign w:val="center"/>
          </w:tcPr>
          <w:p>
            <w:pPr>
              <w:spacing w:line="300" w:lineRule="exact"/>
              <w:jc w:val="right"/>
              <w:rPr>
                <w:rFonts w:ascii="方正书宋_GBK" w:eastAsia="方正书宋_GBK"/>
                <w:color w:val="auto"/>
              </w:rPr>
            </w:pPr>
            <w:r>
              <w:rPr>
                <w:rFonts w:ascii="方正书宋_GBK" w:eastAsia="方正书宋_GBK"/>
                <w:color w:val="auto"/>
              </w:rPr>
              <w:t>90.00</w:t>
            </w:r>
          </w:p>
        </w:tc>
        <w:tc>
          <w:tcPr>
            <w:tcW w:w="887" w:type="dxa"/>
            <w:vAlign w:val="center"/>
          </w:tcPr>
          <w:p>
            <w:pPr>
              <w:spacing w:line="300" w:lineRule="exact"/>
              <w:jc w:val="right"/>
              <w:rPr>
                <w:rFonts w:ascii="方正书宋_GBK" w:eastAsia="方正书宋_GBK"/>
                <w:color w:val="auto"/>
              </w:rPr>
            </w:pPr>
            <w:r>
              <w:rPr>
                <w:rFonts w:ascii="方正书宋_GBK" w:eastAsia="方正书宋_GBK"/>
                <w:color w:val="auto"/>
              </w:rPr>
              <w:t>90.00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90.00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90.00</w:t>
            </w:r>
          </w:p>
        </w:tc>
        <w:tc>
          <w:tcPr>
            <w:tcW w:w="916"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876"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color w:val="auto"/>
              </w:rPr>
            </w:pPr>
            <w:r>
              <w:rPr>
                <w:rFonts w:ascii="方正书宋_GBK" w:eastAsia="方正书宋_GBK"/>
                <w:color w:val="auto"/>
              </w:rPr>
              <w:t>2019</w:t>
            </w:r>
            <w:r>
              <w:rPr>
                <w:rFonts w:hint="eastAsia" w:ascii="方正书宋_GBK" w:eastAsia="方正书宋_GBK"/>
                <w:color w:val="auto"/>
              </w:rPr>
              <w:t>年交警专项业务费支出</w:t>
            </w:r>
          </w:p>
        </w:tc>
        <w:tc>
          <w:tcPr>
            <w:tcW w:w="1052" w:type="dxa"/>
            <w:vAlign w:val="center"/>
          </w:tcPr>
          <w:p>
            <w:pPr>
              <w:spacing w:line="300" w:lineRule="exact"/>
              <w:jc w:val="right"/>
              <w:rPr>
                <w:rFonts w:ascii="方正书宋_GBK" w:eastAsia="方正书宋_GBK"/>
                <w:color w:val="auto"/>
              </w:rPr>
            </w:pPr>
            <w:r>
              <w:rPr>
                <w:rFonts w:ascii="方正书宋_GBK" w:eastAsia="方正书宋_GBK"/>
                <w:color w:val="auto"/>
              </w:rPr>
              <w:t>386.30</w:t>
            </w:r>
          </w:p>
        </w:tc>
        <w:tc>
          <w:tcPr>
            <w:tcW w:w="125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计算机设备</w:t>
            </w:r>
          </w:p>
        </w:tc>
        <w:tc>
          <w:tcPr>
            <w:tcW w:w="1199" w:type="dxa"/>
            <w:vAlign w:val="center"/>
          </w:tcPr>
          <w:p>
            <w:pPr>
              <w:spacing w:line="300" w:lineRule="exact"/>
              <w:jc w:val="left"/>
              <w:rPr>
                <w:rFonts w:ascii="方正书宋_GBK" w:eastAsia="方正书宋_GBK"/>
                <w:color w:val="auto"/>
              </w:rPr>
            </w:pPr>
            <w:r>
              <w:rPr>
                <w:rFonts w:ascii="方正书宋_GBK" w:eastAsia="方正书宋_GBK"/>
                <w:color w:val="auto"/>
              </w:rPr>
              <w:t>A020101</w:t>
            </w:r>
          </w:p>
        </w:tc>
        <w:tc>
          <w:tcPr>
            <w:tcW w:w="71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台</w:t>
            </w:r>
          </w:p>
        </w:tc>
        <w:tc>
          <w:tcPr>
            <w:tcW w:w="742" w:type="dxa"/>
            <w:vAlign w:val="center"/>
          </w:tcPr>
          <w:p>
            <w:pPr>
              <w:spacing w:line="300" w:lineRule="exact"/>
              <w:jc w:val="right"/>
              <w:rPr>
                <w:rFonts w:ascii="方正书宋_GBK" w:eastAsia="方正书宋_GBK"/>
                <w:color w:val="auto"/>
              </w:rPr>
            </w:pPr>
            <w:r>
              <w:rPr>
                <w:rFonts w:ascii="方正书宋_GBK" w:eastAsia="方正书宋_GBK"/>
                <w:color w:val="auto"/>
              </w:rPr>
              <w:t>1</w:t>
            </w:r>
          </w:p>
        </w:tc>
        <w:tc>
          <w:tcPr>
            <w:tcW w:w="859" w:type="dxa"/>
            <w:vAlign w:val="center"/>
          </w:tcPr>
          <w:p>
            <w:pPr>
              <w:spacing w:line="300" w:lineRule="exact"/>
              <w:jc w:val="right"/>
              <w:rPr>
                <w:rFonts w:ascii="方正书宋_GBK" w:eastAsia="方正书宋_GBK"/>
                <w:color w:val="auto"/>
              </w:rPr>
            </w:pPr>
            <w:r>
              <w:rPr>
                <w:rFonts w:ascii="方正书宋_GBK" w:eastAsia="方正书宋_GBK"/>
                <w:color w:val="auto"/>
              </w:rPr>
              <w:t>10.05</w:t>
            </w:r>
          </w:p>
        </w:tc>
        <w:tc>
          <w:tcPr>
            <w:tcW w:w="887" w:type="dxa"/>
            <w:vAlign w:val="center"/>
          </w:tcPr>
          <w:p>
            <w:pPr>
              <w:spacing w:line="300" w:lineRule="exact"/>
              <w:jc w:val="right"/>
              <w:rPr>
                <w:rFonts w:ascii="方正书宋_GBK" w:eastAsia="方正书宋_GBK"/>
                <w:color w:val="auto"/>
              </w:rPr>
            </w:pPr>
            <w:r>
              <w:rPr>
                <w:rFonts w:ascii="方正书宋_GBK" w:eastAsia="方正书宋_GBK"/>
                <w:color w:val="auto"/>
              </w:rPr>
              <w:t>10.05</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10.05</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10.05</w:t>
            </w:r>
          </w:p>
        </w:tc>
        <w:tc>
          <w:tcPr>
            <w:tcW w:w="916"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876"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color w:val="auto"/>
              </w:rPr>
            </w:pPr>
            <w:r>
              <w:rPr>
                <w:rFonts w:ascii="方正书宋_GBK" w:eastAsia="方正书宋_GBK"/>
                <w:color w:val="auto"/>
              </w:rPr>
              <w:t>2019</w:t>
            </w:r>
            <w:r>
              <w:rPr>
                <w:rFonts w:hint="eastAsia" w:ascii="方正书宋_GBK" w:eastAsia="方正书宋_GBK"/>
                <w:color w:val="auto"/>
              </w:rPr>
              <w:t>年交警专项业务费支出</w:t>
            </w:r>
          </w:p>
        </w:tc>
        <w:tc>
          <w:tcPr>
            <w:tcW w:w="1052" w:type="dxa"/>
            <w:vAlign w:val="center"/>
          </w:tcPr>
          <w:p>
            <w:pPr>
              <w:spacing w:line="300" w:lineRule="exact"/>
              <w:jc w:val="right"/>
              <w:rPr>
                <w:rFonts w:ascii="方正书宋_GBK" w:eastAsia="方正书宋_GBK"/>
                <w:color w:val="auto"/>
              </w:rPr>
            </w:pPr>
            <w:r>
              <w:rPr>
                <w:rFonts w:ascii="方正书宋_GBK" w:eastAsia="方正书宋_GBK"/>
                <w:color w:val="auto"/>
              </w:rPr>
              <w:t>386.30</w:t>
            </w:r>
          </w:p>
        </w:tc>
        <w:tc>
          <w:tcPr>
            <w:tcW w:w="125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警车</w:t>
            </w:r>
          </w:p>
        </w:tc>
        <w:tc>
          <w:tcPr>
            <w:tcW w:w="1199" w:type="dxa"/>
            <w:vAlign w:val="center"/>
          </w:tcPr>
          <w:p>
            <w:pPr>
              <w:spacing w:line="300" w:lineRule="exact"/>
              <w:jc w:val="left"/>
              <w:rPr>
                <w:rFonts w:ascii="方正书宋_GBK" w:eastAsia="方正书宋_GBK"/>
                <w:color w:val="auto"/>
              </w:rPr>
            </w:pPr>
            <w:r>
              <w:rPr>
                <w:rFonts w:ascii="方正书宋_GBK" w:eastAsia="方正书宋_GBK"/>
                <w:color w:val="auto"/>
              </w:rPr>
              <w:t>A02030709</w:t>
            </w:r>
          </w:p>
        </w:tc>
        <w:tc>
          <w:tcPr>
            <w:tcW w:w="71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辆</w:t>
            </w:r>
          </w:p>
        </w:tc>
        <w:tc>
          <w:tcPr>
            <w:tcW w:w="742" w:type="dxa"/>
            <w:vAlign w:val="center"/>
          </w:tcPr>
          <w:p>
            <w:pPr>
              <w:spacing w:line="300" w:lineRule="exact"/>
              <w:jc w:val="right"/>
              <w:rPr>
                <w:rFonts w:ascii="方正书宋_GBK" w:eastAsia="方正书宋_GBK"/>
                <w:color w:val="auto"/>
              </w:rPr>
            </w:pPr>
            <w:r>
              <w:rPr>
                <w:rFonts w:ascii="方正书宋_GBK" w:eastAsia="方正书宋_GBK"/>
                <w:color w:val="auto"/>
              </w:rPr>
              <w:t>2</w:t>
            </w:r>
          </w:p>
        </w:tc>
        <w:tc>
          <w:tcPr>
            <w:tcW w:w="859" w:type="dxa"/>
            <w:vAlign w:val="center"/>
          </w:tcPr>
          <w:p>
            <w:pPr>
              <w:spacing w:line="300" w:lineRule="exact"/>
              <w:jc w:val="right"/>
              <w:rPr>
                <w:rFonts w:ascii="方正书宋_GBK" w:eastAsia="方正书宋_GBK"/>
                <w:color w:val="auto"/>
              </w:rPr>
            </w:pPr>
            <w:r>
              <w:rPr>
                <w:rFonts w:ascii="方正书宋_GBK" w:eastAsia="方正书宋_GBK"/>
                <w:color w:val="auto"/>
              </w:rPr>
              <w:t>8.00</w:t>
            </w:r>
          </w:p>
        </w:tc>
        <w:tc>
          <w:tcPr>
            <w:tcW w:w="887" w:type="dxa"/>
            <w:vAlign w:val="center"/>
          </w:tcPr>
          <w:p>
            <w:pPr>
              <w:spacing w:line="300" w:lineRule="exact"/>
              <w:jc w:val="right"/>
              <w:rPr>
                <w:rFonts w:ascii="方正书宋_GBK" w:eastAsia="方正书宋_GBK"/>
                <w:color w:val="auto"/>
              </w:rPr>
            </w:pPr>
            <w:r>
              <w:rPr>
                <w:rFonts w:ascii="方正书宋_GBK" w:eastAsia="方正书宋_GBK"/>
                <w:color w:val="auto"/>
              </w:rPr>
              <w:t>16.00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16.00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16.00</w:t>
            </w:r>
          </w:p>
        </w:tc>
        <w:tc>
          <w:tcPr>
            <w:tcW w:w="916"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876"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color w:val="auto"/>
              </w:rPr>
            </w:pPr>
            <w:r>
              <w:rPr>
                <w:rFonts w:ascii="方正书宋_GBK" w:eastAsia="方正书宋_GBK"/>
                <w:color w:val="auto"/>
              </w:rPr>
              <w:t>2019</w:t>
            </w:r>
            <w:r>
              <w:rPr>
                <w:rFonts w:hint="eastAsia" w:ascii="方正书宋_GBK" w:eastAsia="方正书宋_GBK"/>
                <w:color w:val="auto"/>
              </w:rPr>
              <w:t>年城区电子警察项目建设</w:t>
            </w:r>
          </w:p>
        </w:tc>
        <w:tc>
          <w:tcPr>
            <w:tcW w:w="1052" w:type="dxa"/>
            <w:vAlign w:val="center"/>
          </w:tcPr>
          <w:p>
            <w:pPr>
              <w:spacing w:line="300" w:lineRule="exact"/>
              <w:jc w:val="right"/>
              <w:rPr>
                <w:rFonts w:ascii="方正书宋_GBK" w:eastAsia="方正书宋_GBK"/>
                <w:color w:val="auto"/>
              </w:rPr>
            </w:pPr>
            <w:r>
              <w:rPr>
                <w:rFonts w:ascii="方正书宋_GBK" w:eastAsia="方正书宋_GBK"/>
                <w:color w:val="auto"/>
              </w:rPr>
              <w:t>200.00</w:t>
            </w:r>
          </w:p>
        </w:tc>
        <w:tc>
          <w:tcPr>
            <w:tcW w:w="125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政法、检测专用设备</w:t>
            </w:r>
          </w:p>
        </w:tc>
        <w:tc>
          <w:tcPr>
            <w:tcW w:w="1199" w:type="dxa"/>
            <w:vAlign w:val="center"/>
          </w:tcPr>
          <w:p>
            <w:pPr>
              <w:spacing w:line="300" w:lineRule="exact"/>
              <w:jc w:val="left"/>
              <w:rPr>
                <w:rFonts w:ascii="方正书宋_GBK" w:eastAsia="方正书宋_GBK"/>
                <w:color w:val="auto"/>
              </w:rPr>
            </w:pPr>
            <w:r>
              <w:rPr>
                <w:rFonts w:ascii="方正书宋_GBK" w:eastAsia="方正书宋_GBK"/>
                <w:color w:val="auto"/>
              </w:rPr>
              <w:t>A0325</w:t>
            </w:r>
          </w:p>
        </w:tc>
        <w:tc>
          <w:tcPr>
            <w:tcW w:w="71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套</w:t>
            </w:r>
          </w:p>
        </w:tc>
        <w:tc>
          <w:tcPr>
            <w:tcW w:w="742" w:type="dxa"/>
            <w:vAlign w:val="center"/>
          </w:tcPr>
          <w:p>
            <w:pPr>
              <w:spacing w:line="300" w:lineRule="exact"/>
              <w:jc w:val="right"/>
              <w:rPr>
                <w:rFonts w:ascii="方正书宋_GBK" w:eastAsia="方正书宋_GBK"/>
                <w:color w:val="auto"/>
              </w:rPr>
            </w:pPr>
            <w:r>
              <w:rPr>
                <w:rFonts w:ascii="方正书宋_GBK" w:eastAsia="方正书宋_GBK"/>
                <w:color w:val="auto"/>
              </w:rPr>
              <w:t>1</w:t>
            </w:r>
          </w:p>
        </w:tc>
        <w:tc>
          <w:tcPr>
            <w:tcW w:w="859" w:type="dxa"/>
            <w:vAlign w:val="center"/>
          </w:tcPr>
          <w:p>
            <w:pPr>
              <w:spacing w:line="300" w:lineRule="exact"/>
              <w:jc w:val="right"/>
              <w:rPr>
                <w:rFonts w:ascii="方正书宋_GBK" w:eastAsia="方正书宋_GBK"/>
                <w:color w:val="auto"/>
              </w:rPr>
            </w:pPr>
            <w:r>
              <w:rPr>
                <w:rFonts w:ascii="方正书宋_GBK" w:eastAsia="方正书宋_GBK"/>
                <w:color w:val="auto"/>
              </w:rPr>
              <w:t>200.00</w:t>
            </w:r>
          </w:p>
        </w:tc>
        <w:tc>
          <w:tcPr>
            <w:tcW w:w="887" w:type="dxa"/>
            <w:vAlign w:val="center"/>
          </w:tcPr>
          <w:p>
            <w:pPr>
              <w:spacing w:line="300" w:lineRule="exact"/>
              <w:jc w:val="right"/>
              <w:rPr>
                <w:rFonts w:ascii="方正书宋_GBK" w:eastAsia="方正书宋_GBK"/>
                <w:color w:val="auto"/>
              </w:rPr>
            </w:pPr>
            <w:r>
              <w:rPr>
                <w:rFonts w:ascii="方正书宋_GBK" w:eastAsia="方正书宋_GBK"/>
                <w:color w:val="auto"/>
              </w:rPr>
              <w:t>200.00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200.00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200.00</w:t>
            </w:r>
          </w:p>
        </w:tc>
        <w:tc>
          <w:tcPr>
            <w:tcW w:w="916"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876"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color w:val="auto"/>
              </w:rPr>
            </w:pPr>
            <w:r>
              <w:rPr>
                <w:rFonts w:ascii="方正书宋_GBK" w:eastAsia="方正书宋_GBK"/>
                <w:color w:val="auto"/>
              </w:rPr>
              <w:t>2018</w:t>
            </w:r>
            <w:r>
              <w:rPr>
                <w:rFonts w:hint="eastAsia" w:ascii="方正书宋_GBK" w:eastAsia="方正书宋_GBK"/>
                <w:color w:val="auto"/>
              </w:rPr>
              <w:t>年电子警察质保金</w:t>
            </w:r>
          </w:p>
        </w:tc>
        <w:tc>
          <w:tcPr>
            <w:tcW w:w="1052" w:type="dxa"/>
            <w:vAlign w:val="center"/>
          </w:tcPr>
          <w:p>
            <w:pPr>
              <w:spacing w:line="300" w:lineRule="exact"/>
              <w:jc w:val="right"/>
              <w:rPr>
                <w:rFonts w:ascii="方正书宋_GBK" w:eastAsia="方正书宋_GBK"/>
                <w:color w:val="auto"/>
              </w:rPr>
            </w:pPr>
            <w:r>
              <w:rPr>
                <w:rFonts w:ascii="方正书宋_GBK" w:eastAsia="方正书宋_GBK"/>
                <w:color w:val="auto"/>
              </w:rPr>
              <w:t>6.62</w:t>
            </w:r>
          </w:p>
        </w:tc>
        <w:tc>
          <w:tcPr>
            <w:tcW w:w="125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政法、检测专用设备</w:t>
            </w:r>
          </w:p>
        </w:tc>
        <w:tc>
          <w:tcPr>
            <w:tcW w:w="1199" w:type="dxa"/>
            <w:vAlign w:val="center"/>
          </w:tcPr>
          <w:p>
            <w:pPr>
              <w:spacing w:line="300" w:lineRule="exact"/>
              <w:jc w:val="left"/>
              <w:rPr>
                <w:rFonts w:ascii="方正书宋_GBK" w:eastAsia="方正书宋_GBK"/>
                <w:color w:val="auto"/>
              </w:rPr>
            </w:pPr>
            <w:r>
              <w:rPr>
                <w:rFonts w:ascii="方正书宋_GBK" w:eastAsia="方正书宋_GBK"/>
                <w:color w:val="auto"/>
              </w:rPr>
              <w:t>A0325</w:t>
            </w:r>
          </w:p>
        </w:tc>
        <w:tc>
          <w:tcPr>
            <w:tcW w:w="71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套</w:t>
            </w:r>
          </w:p>
        </w:tc>
        <w:tc>
          <w:tcPr>
            <w:tcW w:w="742" w:type="dxa"/>
            <w:vAlign w:val="center"/>
          </w:tcPr>
          <w:p>
            <w:pPr>
              <w:spacing w:line="300" w:lineRule="exact"/>
              <w:jc w:val="right"/>
              <w:rPr>
                <w:rFonts w:ascii="方正书宋_GBK" w:eastAsia="方正书宋_GBK"/>
                <w:color w:val="auto"/>
              </w:rPr>
            </w:pPr>
            <w:r>
              <w:rPr>
                <w:rFonts w:ascii="方正书宋_GBK" w:eastAsia="方正书宋_GBK"/>
                <w:color w:val="auto"/>
              </w:rPr>
              <w:t>1</w:t>
            </w:r>
          </w:p>
        </w:tc>
        <w:tc>
          <w:tcPr>
            <w:tcW w:w="859" w:type="dxa"/>
            <w:vAlign w:val="center"/>
          </w:tcPr>
          <w:p>
            <w:pPr>
              <w:spacing w:line="300" w:lineRule="exact"/>
              <w:jc w:val="right"/>
              <w:rPr>
                <w:rFonts w:ascii="方正书宋_GBK" w:eastAsia="方正书宋_GBK"/>
                <w:color w:val="auto"/>
              </w:rPr>
            </w:pPr>
            <w:r>
              <w:rPr>
                <w:rFonts w:ascii="方正书宋_GBK" w:eastAsia="方正书宋_GBK"/>
                <w:color w:val="auto"/>
              </w:rPr>
              <w:t>6.62</w:t>
            </w:r>
          </w:p>
        </w:tc>
        <w:tc>
          <w:tcPr>
            <w:tcW w:w="887" w:type="dxa"/>
            <w:vAlign w:val="center"/>
          </w:tcPr>
          <w:p>
            <w:pPr>
              <w:spacing w:line="300" w:lineRule="exact"/>
              <w:jc w:val="right"/>
              <w:rPr>
                <w:rFonts w:ascii="方正书宋_GBK" w:eastAsia="方正书宋_GBK"/>
                <w:color w:val="auto"/>
              </w:rPr>
            </w:pPr>
            <w:r>
              <w:rPr>
                <w:rFonts w:ascii="方正书宋_GBK" w:eastAsia="方正书宋_GBK"/>
                <w:color w:val="auto"/>
              </w:rPr>
              <w:t>6.62</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6.62</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6.62</w:t>
            </w:r>
          </w:p>
        </w:tc>
        <w:tc>
          <w:tcPr>
            <w:tcW w:w="916"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876"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color w:val="auto"/>
              </w:rPr>
            </w:pPr>
            <w:r>
              <w:rPr>
                <w:rFonts w:ascii="方正书宋_GBK" w:eastAsia="方正书宋_GBK"/>
                <w:color w:val="auto"/>
              </w:rPr>
              <w:t>2018</w:t>
            </w:r>
            <w:r>
              <w:rPr>
                <w:rFonts w:hint="eastAsia" w:ascii="方正书宋_GBK" w:eastAsia="方正书宋_GBK"/>
                <w:color w:val="auto"/>
              </w:rPr>
              <w:t>年标线尾款</w:t>
            </w:r>
          </w:p>
        </w:tc>
        <w:tc>
          <w:tcPr>
            <w:tcW w:w="1052" w:type="dxa"/>
            <w:vAlign w:val="center"/>
          </w:tcPr>
          <w:p>
            <w:pPr>
              <w:spacing w:line="300" w:lineRule="exact"/>
              <w:jc w:val="right"/>
              <w:rPr>
                <w:rFonts w:ascii="方正书宋_GBK" w:eastAsia="方正书宋_GBK"/>
                <w:color w:val="auto"/>
              </w:rPr>
            </w:pPr>
            <w:r>
              <w:rPr>
                <w:rFonts w:ascii="方正书宋_GBK" w:eastAsia="方正书宋_GBK"/>
                <w:color w:val="auto"/>
              </w:rPr>
              <w:t>23.74</w:t>
            </w:r>
          </w:p>
        </w:tc>
        <w:tc>
          <w:tcPr>
            <w:tcW w:w="125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市政公共设施管理服务</w:t>
            </w:r>
          </w:p>
        </w:tc>
        <w:tc>
          <w:tcPr>
            <w:tcW w:w="1199" w:type="dxa"/>
            <w:vAlign w:val="center"/>
          </w:tcPr>
          <w:p>
            <w:pPr>
              <w:spacing w:line="300" w:lineRule="exact"/>
              <w:jc w:val="left"/>
              <w:rPr>
                <w:rFonts w:ascii="方正书宋_GBK" w:eastAsia="方正书宋_GBK"/>
                <w:color w:val="auto"/>
              </w:rPr>
            </w:pPr>
            <w:r>
              <w:rPr>
                <w:rFonts w:ascii="方正书宋_GBK" w:eastAsia="方正书宋_GBK"/>
                <w:color w:val="auto"/>
              </w:rPr>
              <w:t>C1302</w:t>
            </w:r>
          </w:p>
        </w:tc>
        <w:tc>
          <w:tcPr>
            <w:tcW w:w="714" w:type="dxa"/>
            <w:vAlign w:val="center"/>
          </w:tcPr>
          <w:p>
            <w:pPr>
              <w:spacing w:line="300" w:lineRule="exact"/>
              <w:jc w:val="left"/>
              <w:rPr>
                <w:rFonts w:ascii="方正书宋_GBK" w:eastAsia="方正书宋_GBK"/>
                <w:color w:val="auto"/>
              </w:rPr>
            </w:pPr>
            <w:r>
              <w:rPr>
                <w:rFonts w:ascii="方正书宋_GBK" w:eastAsia="方正书宋_GBK"/>
                <w:color w:val="auto"/>
              </w:rPr>
              <w:t xml:space="preserve"> </w:t>
            </w:r>
            <w:r>
              <w:rPr>
                <w:rFonts w:hint="eastAsia" w:ascii="方正书宋_GBK" w:eastAsia="方正书宋_GBK"/>
                <w:color w:val="auto"/>
              </w:rPr>
              <w:t>平米</w:t>
            </w:r>
          </w:p>
        </w:tc>
        <w:tc>
          <w:tcPr>
            <w:tcW w:w="742" w:type="dxa"/>
            <w:vAlign w:val="center"/>
          </w:tcPr>
          <w:p>
            <w:pPr>
              <w:spacing w:line="300" w:lineRule="exact"/>
              <w:jc w:val="right"/>
              <w:rPr>
                <w:rFonts w:ascii="方正书宋_GBK" w:eastAsia="方正书宋_GBK"/>
                <w:color w:val="auto"/>
              </w:rPr>
            </w:pPr>
            <w:r>
              <w:rPr>
                <w:rFonts w:ascii="方正书宋_GBK" w:eastAsia="方正书宋_GBK"/>
                <w:color w:val="auto"/>
              </w:rPr>
              <w:t>1</w:t>
            </w:r>
          </w:p>
        </w:tc>
        <w:tc>
          <w:tcPr>
            <w:tcW w:w="859" w:type="dxa"/>
            <w:vAlign w:val="center"/>
          </w:tcPr>
          <w:p>
            <w:pPr>
              <w:spacing w:line="300" w:lineRule="exact"/>
              <w:jc w:val="right"/>
              <w:rPr>
                <w:rFonts w:ascii="方正书宋_GBK" w:eastAsia="方正书宋_GBK"/>
                <w:color w:val="auto"/>
              </w:rPr>
            </w:pPr>
            <w:r>
              <w:rPr>
                <w:rFonts w:ascii="方正书宋_GBK" w:eastAsia="方正书宋_GBK"/>
                <w:color w:val="auto"/>
              </w:rPr>
              <w:t>23.74</w:t>
            </w:r>
          </w:p>
        </w:tc>
        <w:tc>
          <w:tcPr>
            <w:tcW w:w="887" w:type="dxa"/>
            <w:vAlign w:val="center"/>
          </w:tcPr>
          <w:p>
            <w:pPr>
              <w:spacing w:line="300" w:lineRule="exact"/>
              <w:jc w:val="right"/>
              <w:rPr>
                <w:rFonts w:ascii="方正书宋_GBK" w:eastAsia="方正书宋_GBK"/>
                <w:color w:val="auto"/>
              </w:rPr>
            </w:pPr>
            <w:r>
              <w:rPr>
                <w:rFonts w:ascii="方正书宋_GBK" w:eastAsia="方正书宋_GBK"/>
                <w:color w:val="auto"/>
              </w:rPr>
              <w:t>23.74</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23.74</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23.74</w:t>
            </w:r>
          </w:p>
        </w:tc>
        <w:tc>
          <w:tcPr>
            <w:tcW w:w="916"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876" w:type="dxa"/>
            <w:vAlign w:val="center"/>
          </w:tcPr>
          <w:p>
            <w:pPr>
              <w:spacing w:line="300" w:lineRule="exact"/>
              <w:jc w:val="right"/>
              <w:rPr>
                <w:rFonts w:ascii="方正书宋_GBK" w:eastAsia="方正书宋_GBK"/>
                <w:color w:val="auto"/>
              </w:rPr>
            </w:pPr>
          </w:p>
        </w:tc>
      </w:tr>
    </w:tbl>
    <w:p>
      <w:pPr>
        <w:spacing w:line="300" w:lineRule="exact"/>
        <w:jc w:val="left"/>
        <w:outlineLvl w:val="0"/>
        <w:rPr>
          <w:color w:val="auto"/>
        </w:rPr>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rPr>
        <w:t>曲阳县公安局交通管理大队（含所属单位）</w:t>
      </w:r>
      <w:r>
        <w:rPr>
          <w:rFonts w:ascii="Times New Roman" w:hAnsi="Times New Roman" w:eastAsia="仿宋" w:cs="Times New Roman"/>
          <w:color w:val="auto"/>
          <w:sz w:val="32"/>
          <w:szCs w:val="32"/>
        </w:rPr>
        <w:t>上年末固定资产金额为</w:t>
      </w:r>
      <w:r>
        <w:rPr>
          <w:rFonts w:hint="eastAsia" w:ascii="Times New Roman" w:hAnsi="Times New Roman" w:eastAsia="仿宋" w:cs="Times New Roman"/>
          <w:color w:val="auto"/>
          <w:sz w:val="32"/>
          <w:szCs w:val="32"/>
        </w:rPr>
        <w:t>1479</w:t>
      </w:r>
      <w:r>
        <w:rPr>
          <w:rFonts w:hint="eastAsia"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rPr>
        <w:t>57819</w:t>
      </w:r>
      <w:r>
        <w:rPr>
          <w:rFonts w:ascii="Times New Roman" w:hAnsi="Times New Roman" w:eastAsia="仿宋" w:cs="Times New Roman"/>
          <w:color w:val="auto"/>
          <w:sz w:val="32"/>
          <w:szCs w:val="32"/>
        </w:rPr>
        <w:t>万</w:t>
      </w:r>
      <w:r>
        <w:rPr>
          <w:rFonts w:hint="eastAsia" w:ascii="Times New Roman" w:hAnsi="Times New Roman" w:eastAsia="仿宋" w:cs="Times New Roman"/>
          <w:color w:val="auto"/>
          <w:sz w:val="32"/>
          <w:szCs w:val="32"/>
        </w:rPr>
        <w:t>元</w:t>
      </w: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eastAsia="zh-CN"/>
        </w:rPr>
        <w:t>本年度我单位无固定资产购置项目。</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河北省省直部门固定资产占用情况表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编制部门：</w:t>
            </w:r>
            <w:r>
              <w:rPr>
                <w:rFonts w:hint="eastAsia" w:ascii="Times New Roman" w:hAnsi="Times New Roman" w:eastAsia="仿宋" w:cs="Times New Roman"/>
                <w:color w:val="auto"/>
                <w:kern w:val="0"/>
                <w:sz w:val="22"/>
              </w:rPr>
              <w:t>曲阳县公安局交通管理大队</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截止时间：201</w:t>
            </w:r>
            <w:r>
              <w:rPr>
                <w:rFonts w:hint="eastAsia" w:ascii="Times New Roman" w:hAnsi="Times New Roman" w:eastAsia="仿宋" w:cs="Times New Roman"/>
                <w:color w:val="auto"/>
                <w:kern w:val="0"/>
                <w:sz w:val="22"/>
              </w:rPr>
              <w:t>8</w:t>
            </w:r>
            <w:r>
              <w:rPr>
                <w:rFonts w:ascii="Times New Roman" w:hAnsi="Times New Roman" w:eastAsia="仿宋" w:cs="Times New Roman"/>
                <w:color w:val="auto"/>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sz w:val="32"/>
                <w:szCs w:val="32"/>
              </w:rPr>
              <w:t>1479</w:t>
            </w:r>
            <w:r>
              <w:rPr>
                <w:rFonts w:hint="eastAsia"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rPr>
              <w:t>57819</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5077</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786</w:t>
            </w:r>
            <w:r>
              <w:rPr>
                <w:rFonts w:hint="eastAsia" w:ascii="Times New Roman" w:hAnsi="Times New Roman" w:eastAsia="仿宋" w:cs="Times New Roman"/>
                <w:color w:val="auto"/>
                <w:kern w:val="0"/>
                <w:sz w:val="22"/>
                <w:lang w:val="en-US" w:eastAsia="zh-CN"/>
              </w:rPr>
              <w:t>.</w:t>
            </w:r>
            <w:r>
              <w:rPr>
                <w:rFonts w:hint="eastAsia" w:ascii="Times New Roman" w:hAnsi="Times New Roman" w:eastAsia="仿宋" w:cs="Times New Roman"/>
                <w:color w:val="auto"/>
                <w:kern w:val="0"/>
                <w:sz w:val="22"/>
              </w:rPr>
              <w:t>9032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5077</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786</w:t>
            </w:r>
            <w:r>
              <w:rPr>
                <w:rFonts w:hint="eastAsia" w:ascii="Times New Roman" w:hAnsi="Times New Roman" w:eastAsia="仿宋" w:cs="Times New Roman"/>
                <w:color w:val="auto"/>
                <w:kern w:val="0"/>
                <w:sz w:val="22"/>
                <w:lang w:val="en-US" w:eastAsia="zh-CN"/>
              </w:rPr>
              <w:t>.</w:t>
            </w:r>
            <w:r>
              <w:rPr>
                <w:rFonts w:hint="eastAsia" w:ascii="Times New Roman" w:hAnsi="Times New Roman" w:eastAsia="仿宋" w:cs="Times New Roman"/>
                <w:color w:val="auto"/>
                <w:kern w:val="0"/>
                <w:sz w:val="22"/>
              </w:rPr>
              <w:t>9032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25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210</w:t>
            </w:r>
            <w:r>
              <w:rPr>
                <w:rFonts w:hint="eastAsia" w:ascii="Times New Roman" w:hAnsi="Times New Roman" w:eastAsia="仿宋" w:cs="Times New Roman"/>
                <w:color w:val="auto"/>
                <w:kern w:val="0"/>
                <w:sz w:val="22"/>
                <w:lang w:val="en-US" w:eastAsia="zh-CN"/>
              </w:rPr>
              <w:t>.</w:t>
            </w:r>
            <w:r>
              <w:rPr>
                <w:rFonts w:hint="eastAsia" w:ascii="Times New Roman" w:hAnsi="Times New Roman" w:eastAsia="仿宋" w:cs="Times New Roman"/>
                <w:color w:val="auto"/>
                <w:kern w:val="0"/>
                <w:sz w:val="22"/>
              </w:rPr>
              <w:t>225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462</w:t>
            </w:r>
            <w:r>
              <w:rPr>
                <w:rFonts w:hint="eastAsia" w:ascii="Times New Roman" w:hAnsi="Times New Roman" w:eastAsia="仿宋" w:cs="Times New Roman"/>
                <w:color w:val="auto"/>
                <w:kern w:val="0"/>
                <w:sz w:val="22"/>
                <w:lang w:val="en-US" w:eastAsia="zh-CN"/>
              </w:rPr>
              <w:t>.</w:t>
            </w:r>
            <w:r>
              <w:rPr>
                <w:rFonts w:hint="eastAsia" w:ascii="Times New Roman" w:hAnsi="Times New Roman" w:eastAsia="仿宋" w:cs="Times New Roman"/>
                <w:color w:val="auto"/>
                <w:kern w:val="0"/>
                <w:sz w:val="22"/>
              </w:rPr>
              <w:t>84669</w:t>
            </w:r>
          </w:p>
        </w:tc>
      </w:tr>
    </w:tbl>
    <w:p>
      <w:pPr>
        <w:autoSpaceDE w:val="0"/>
        <w:autoSpaceDN w:val="0"/>
        <w:adjustRightInd w:val="0"/>
        <w:ind w:firstLine="640" w:firstLineChars="200"/>
        <w:jc w:val="left"/>
        <w:rPr>
          <w:rFonts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ind w:firstLine="200"/>
        <w:rPr>
          <w:rFonts w:ascii="黑体" w:hAnsi="黑体" w:eastAsia="黑体"/>
          <w:color w:val="auto"/>
          <w:sz w:val="32"/>
          <w:szCs w:val="32"/>
        </w:rPr>
      </w:pPr>
      <w:r>
        <w:rPr>
          <w:rFonts w:hint="eastAsia" w:ascii="黑体" w:hAnsi="黑体" w:eastAsia="黑体"/>
          <w:color w:val="auto"/>
          <w:sz w:val="32"/>
          <w:szCs w:val="32"/>
        </w:rPr>
        <w:t>一、名词解释</w:t>
      </w:r>
    </w:p>
    <w:p>
      <w:pPr>
        <w:spacing w:line="500" w:lineRule="exact"/>
        <w:ind w:firstLine="643" w:firstLineChars="200"/>
        <w:jc w:val="left"/>
        <w:outlineLvl w:val="0"/>
        <w:rPr>
          <w:rFonts w:ascii="仿宋" w:hAnsi="仿宋" w:eastAsia="仿宋" w:cs="Times New Roman"/>
          <w:color w:val="auto"/>
          <w:sz w:val="32"/>
          <w:szCs w:val="32"/>
        </w:rPr>
      </w:pPr>
      <w:r>
        <w:rPr>
          <w:rFonts w:hint="eastAsia" w:ascii="仿宋" w:hAnsi="仿宋" w:eastAsia="仿宋" w:cs="Times New Roman"/>
          <w:b/>
          <w:color w:val="auto"/>
          <w:sz w:val="32"/>
          <w:szCs w:val="32"/>
        </w:rPr>
        <w:t>1、财政拨款收入：</w:t>
      </w:r>
      <w:r>
        <w:rPr>
          <w:rFonts w:hint="eastAsia" w:ascii="仿宋" w:hAnsi="仿宋" w:eastAsia="仿宋" w:cs="Times New Roman"/>
          <w:color w:val="auto"/>
          <w:sz w:val="32"/>
          <w:szCs w:val="32"/>
        </w:rPr>
        <w:t>指县级财政当年拨付的资金。</w:t>
      </w:r>
    </w:p>
    <w:p>
      <w:pPr>
        <w:spacing w:line="500" w:lineRule="exact"/>
        <w:ind w:firstLine="643" w:firstLineChars="200"/>
        <w:jc w:val="left"/>
        <w:outlineLvl w:val="0"/>
        <w:rPr>
          <w:rFonts w:ascii="仿宋" w:hAnsi="仿宋" w:eastAsia="仿宋" w:cs="Times New Roman"/>
          <w:color w:val="auto"/>
          <w:sz w:val="32"/>
          <w:szCs w:val="32"/>
        </w:rPr>
      </w:pPr>
      <w:r>
        <w:rPr>
          <w:rFonts w:hint="eastAsia" w:ascii="仿宋" w:hAnsi="仿宋" w:eastAsia="仿宋" w:cs="Times New Roman"/>
          <w:b/>
          <w:color w:val="auto"/>
          <w:sz w:val="32"/>
          <w:szCs w:val="32"/>
        </w:rPr>
        <w:t>2、其他收入：</w:t>
      </w:r>
      <w:r>
        <w:rPr>
          <w:rFonts w:hint="eastAsia" w:ascii="仿宋" w:hAnsi="仿宋" w:eastAsia="仿宋" w:cs="Times New Roman"/>
          <w:color w:val="auto"/>
          <w:sz w:val="32"/>
          <w:szCs w:val="32"/>
        </w:rPr>
        <w:t>指除上述“财政拨款收入”、“事业收入”等以外的收入。</w:t>
      </w:r>
    </w:p>
    <w:p>
      <w:pPr>
        <w:spacing w:line="500" w:lineRule="exact"/>
        <w:ind w:firstLine="643" w:firstLineChars="200"/>
        <w:jc w:val="left"/>
        <w:outlineLvl w:val="0"/>
        <w:rPr>
          <w:rFonts w:ascii="仿宋" w:hAnsi="仿宋" w:eastAsia="仿宋" w:cs="Times New Roman"/>
          <w:color w:val="auto"/>
          <w:sz w:val="32"/>
          <w:szCs w:val="32"/>
        </w:rPr>
      </w:pPr>
      <w:r>
        <w:rPr>
          <w:rFonts w:hint="eastAsia" w:ascii="仿宋" w:hAnsi="仿宋" w:eastAsia="仿宋" w:cs="Times New Roman"/>
          <w:b/>
          <w:color w:val="auto"/>
          <w:sz w:val="32"/>
          <w:szCs w:val="32"/>
        </w:rPr>
        <w:t>3、基本支出：</w:t>
      </w:r>
      <w:r>
        <w:rPr>
          <w:rFonts w:hint="eastAsia" w:ascii="仿宋" w:hAnsi="仿宋" w:eastAsia="仿宋" w:cs="Times New Roman"/>
          <w:color w:val="auto"/>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cs="Times New Roman"/>
          <w:color w:val="auto"/>
          <w:sz w:val="32"/>
          <w:szCs w:val="32"/>
        </w:rPr>
      </w:pPr>
      <w:r>
        <w:rPr>
          <w:rFonts w:hint="eastAsia" w:ascii="仿宋" w:hAnsi="仿宋" w:eastAsia="仿宋" w:cs="Times New Roman"/>
          <w:b/>
          <w:color w:val="auto"/>
          <w:sz w:val="32"/>
          <w:szCs w:val="32"/>
        </w:rPr>
        <w:t>4、项目支出：</w:t>
      </w:r>
      <w:r>
        <w:rPr>
          <w:rFonts w:hint="eastAsia" w:ascii="仿宋" w:hAnsi="仿宋" w:eastAsia="仿宋" w:cs="Times New Roman"/>
          <w:color w:val="auto"/>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cs="Times New Roman"/>
          <w:color w:val="auto"/>
          <w:sz w:val="32"/>
          <w:szCs w:val="32"/>
        </w:rPr>
      </w:pPr>
      <w:r>
        <w:rPr>
          <w:rFonts w:hint="eastAsia" w:ascii="仿宋" w:hAnsi="仿宋" w:eastAsia="仿宋" w:cs="Times New Roman"/>
          <w:b/>
          <w:color w:val="auto"/>
          <w:sz w:val="32"/>
          <w:szCs w:val="32"/>
        </w:rPr>
        <w:t>5、“三公”经费：</w:t>
      </w:r>
      <w:r>
        <w:rPr>
          <w:rFonts w:hint="eastAsia" w:ascii="仿宋" w:hAnsi="仿宋" w:eastAsia="仿宋" w:cs="Times New Roman"/>
          <w:color w:val="auto"/>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cs="Times New Roman"/>
          <w:color w:val="auto"/>
          <w:sz w:val="32"/>
          <w:szCs w:val="32"/>
        </w:rPr>
      </w:pPr>
      <w:r>
        <w:rPr>
          <w:rFonts w:hint="eastAsia" w:ascii="仿宋" w:hAnsi="仿宋" w:eastAsia="仿宋" w:cs="Times New Roman"/>
          <w:b/>
          <w:color w:val="auto"/>
          <w:sz w:val="32"/>
          <w:szCs w:val="32"/>
        </w:rPr>
        <w:t>6、机关运行费：</w:t>
      </w:r>
      <w:r>
        <w:rPr>
          <w:rFonts w:hint="eastAsia" w:ascii="仿宋" w:hAnsi="仿宋" w:eastAsia="仿宋" w:cs="Times New Roman"/>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cs="Times New Roman"/>
          <w:color w:val="auto"/>
          <w:sz w:val="32"/>
          <w:szCs w:val="32"/>
        </w:rPr>
      </w:pPr>
      <w:r>
        <w:rPr>
          <w:rFonts w:hint="eastAsia" w:ascii="仿宋" w:hAnsi="仿宋" w:eastAsia="仿宋" w:cs="Times New Roman"/>
          <w:b/>
          <w:color w:val="auto"/>
          <w:sz w:val="32"/>
          <w:szCs w:val="32"/>
        </w:rPr>
        <w:t>7、公务费：</w:t>
      </w:r>
      <w:r>
        <w:rPr>
          <w:rFonts w:hint="eastAsia" w:ascii="仿宋" w:hAnsi="仿宋" w:eastAsia="仿宋" w:cs="Times New Roman"/>
          <w:color w:val="auto"/>
          <w:sz w:val="32"/>
          <w:szCs w:val="32"/>
        </w:rPr>
        <w:t>包括办公费、水电费、邮电费、取暖费、交通费、一般会议费和物业管理费之和。</w:t>
      </w: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swiss"/>
    <w:pitch w:val="default"/>
    <w:sig w:usb0="00000000" w:usb1="00000000" w:usb2="00000000" w:usb3="00000000" w:csb0="00000000" w:csb1="00000000"/>
  </w:font>
  <w:font w:name="仿宋">
    <w:panose1 w:val="02010609060101010101"/>
    <w:charset w:val="86"/>
    <w:family w:val="decorative"/>
    <w:pitch w:val="default"/>
    <w:sig w:usb0="800002BF" w:usb1="38CF7CFA" w:usb2="00000016" w:usb3="00000000" w:csb0="00040001" w:csb1="00000000"/>
  </w:font>
  <w:font w:name="方正仿宋_GBK">
    <w:altName w:val="宋体"/>
    <w:panose1 w:val="00000000000000000000"/>
    <w:charset w:val="86"/>
    <w:family w:val="swiss"/>
    <w:pitch w:val="default"/>
    <w:sig w:usb0="00000000" w:usb1="00000000" w:usb2="00000000" w:usb3="00000000" w:csb0="00000000" w:csb1="00000000"/>
  </w:font>
  <w:font w:name="方正黑体_GBK">
    <w:altName w:val="宋体"/>
    <w:panose1 w:val="00000000000000000000"/>
    <w:charset w:val="86"/>
    <w:family w:val="swiss"/>
    <w:pitch w:val="default"/>
    <w:sig w:usb0="00000000" w:usb1="00000000" w:usb2="00000000" w:usb3="00000000" w:csb0="00000000" w:csb1="00000000"/>
  </w:font>
  <w:font w:name="方正书宋_GBK">
    <w:altName w:val="宋体"/>
    <w:panose1 w:val="00000000000000000000"/>
    <w:charset w:val="86"/>
    <w:family w:val="swiss"/>
    <w:pitch w:val="default"/>
    <w:sig w:usb0="00000000" w:usb1="00000000" w:usb2="00000000" w:usb3="00000000" w:csb0="00000000" w:csb1="00000000"/>
  </w:font>
  <w:font w:name="宋体-方正超大字符集">
    <w:altName w:val="宋体"/>
    <w:panose1 w:val="03000509000000000000"/>
    <w:charset w:val="86"/>
    <w:family w:val="swiss"/>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F"/>
    <w:rsid w:val="00040FBA"/>
    <w:rsid w:val="0004490B"/>
    <w:rsid w:val="000604DF"/>
    <w:rsid w:val="00080D44"/>
    <w:rsid w:val="00082F3E"/>
    <w:rsid w:val="000B6658"/>
    <w:rsid w:val="000E05A9"/>
    <w:rsid w:val="0013228E"/>
    <w:rsid w:val="0015570D"/>
    <w:rsid w:val="00171C1A"/>
    <w:rsid w:val="0023606F"/>
    <w:rsid w:val="0027733F"/>
    <w:rsid w:val="002E4731"/>
    <w:rsid w:val="00321776"/>
    <w:rsid w:val="003277EC"/>
    <w:rsid w:val="00456D84"/>
    <w:rsid w:val="004723CA"/>
    <w:rsid w:val="00533CAF"/>
    <w:rsid w:val="00613DF7"/>
    <w:rsid w:val="00621DB1"/>
    <w:rsid w:val="00623505"/>
    <w:rsid w:val="00637984"/>
    <w:rsid w:val="00657CF5"/>
    <w:rsid w:val="006C6159"/>
    <w:rsid w:val="006D6197"/>
    <w:rsid w:val="006D7083"/>
    <w:rsid w:val="007059B1"/>
    <w:rsid w:val="007167CC"/>
    <w:rsid w:val="007A1E28"/>
    <w:rsid w:val="007A62C3"/>
    <w:rsid w:val="007B0F2A"/>
    <w:rsid w:val="007F1291"/>
    <w:rsid w:val="008003BA"/>
    <w:rsid w:val="00817B30"/>
    <w:rsid w:val="0085745B"/>
    <w:rsid w:val="008C091D"/>
    <w:rsid w:val="008E0308"/>
    <w:rsid w:val="009C5DD6"/>
    <w:rsid w:val="00B125EC"/>
    <w:rsid w:val="00B27085"/>
    <w:rsid w:val="00B36865"/>
    <w:rsid w:val="00B55293"/>
    <w:rsid w:val="00B84D9A"/>
    <w:rsid w:val="00BD3FEC"/>
    <w:rsid w:val="00BE3387"/>
    <w:rsid w:val="00C12263"/>
    <w:rsid w:val="00CA3C0E"/>
    <w:rsid w:val="00CB5601"/>
    <w:rsid w:val="00D148AE"/>
    <w:rsid w:val="00D62A27"/>
    <w:rsid w:val="00DF37B0"/>
    <w:rsid w:val="00E57005"/>
    <w:rsid w:val="00EC45A6"/>
    <w:rsid w:val="00F0617A"/>
    <w:rsid w:val="00F171F2"/>
    <w:rsid w:val="00FC112A"/>
    <w:rsid w:val="00FF2281"/>
    <w:rsid w:val="13872098"/>
    <w:rsid w:val="14E7406A"/>
    <w:rsid w:val="15DA37E6"/>
    <w:rsid w:val="1FF31510"/>
    <w:rsid w:val="3CB60BD6"/>
    <w:rsid w:val="3D7379E8"/>
    <w:rsid w:val="3DC51712"/>
    <w:rsid w:val="434160FA"/>
    <w:rsid w:val="49C16E0C"/>
    <w:rsid w:val="4E062B26"/>
    <w:rsid w:val="5ACF7CF0"/>
    <w:rsid w:val="74CB338A"/>
    <w:rsid w:val="772C16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character" w:customStyle="1" w:styleId="8">
    <w:name w:val="页脚 Char"/>
    <w:link w:val="2"/>
    <w:semiHidden/>
    <w:qFormat/>
    <w:uiPriority w:val="0"/>
    <w:rPr>
      <w:rFonts w:ascii="Times New Roman" w:hAnsi="Times New Roman" w:eastAsia="宋体" w:cs="Times New Roman"/>
      <w:sz w:val="18"/>
      <w:szCs w:val="18"/>
    </w:rPr>
  </w:style>
  <w:style w:type="character" w:customStyle="1" w:styleId="9">
    <w:name w:val="页眉 Char"/>
    <w:link w:val="3"/>
    <w:semiHidden/>
    <w:qFormat/>
    <w:uiPriority w:val="0"/>
    <w:rPr>
      <w:rFonts w:ascii="Times New Roman" w:hAnsi="Times New Roman" w:eastAsia="宋体" w:cs="Times New Roman"/>
      <w:sz w:val="18"/>
      <w:szCs w:val="18"/>
    </w:rPr>
  </w:style>
  <w:style w:type="paragraph" w:customStyle="1" w:styleId="10">
    <w:name w:val="Char"/>
    <w:basedOn w:val="1"/>
    <w:qFormat/>
    <w:uiPriority w:val="0"/>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13F465-198B-4718-A7EC-8B72991EE5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1349</Words>
  <Characters>7694</Characters>
  <Lines>64</Lines>
  <Paragraphs>18</Paragraphs>
  <TotalTime>25</TotalTime>
  <ScaleCrop>false</ScaleCrop>
  <LinksUpToDate>false</LinksUpToDate>
  <CharactersWithSpaces>9025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2019-02-21T08:15:00Z</cp:lastPrinted>
  <dcterms:modified xsi:type="dcterms:W3CDTF">2025-02-18T10:42:18Z</dcterms:modified>
  <dc:title>Administrator</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