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方正小标宋_GBK"/>
          <w:sz w:val="44"/>
          <w:szCs w:val="44"/>
          <w:lang w:eastAsia="zh-CN"/>
        </w:rPr>
      </w:pPr>
      <w:bookmarkStart w:id="0" w:name="_GoBack"/>
      <w:bookmarkEnd w:id="0"/>
      <w:r>
        <w:rPr>
          <w:rFonts w:hint="eastAsia" w:eastAsia="方正小标宋_GBK"/>
          <w:sz w:val="44"/>
          <w:szCs w:val="44"/>
          <w:lang w:eastAsia="zh-CN"/>
        </w:rPr>
        <w:t>曲阳县公安局交通管理大队</w:t>
      </w:r>
    </w:p>
    <w:p>
      <w:pPr>
        <w:jc w:val="center"/>
        <w:rPr>
          <w:rFonts w:eastAsia="方正小标宋_GBK"/>
          <w:sz w:val="44"/>
          <w:szCs w:val="44"/>
        </w:rPr>
      </w:pPr>
      <w:r>
        <w:rPr>
          <w:rFonts w:hint="eastAsia" w:eastAsia="方正小标宋_GBK"/>
          <w:sz w:val="44"/>
          <w:szCs w:val="44"/>
          <w:lang w:val="en-US" w:eastAsia="zh-CN"/>
        </w:rPr>
        <w:t>2021年</w:t>
      </w:r>
      <w:r>
        <w:rPr>
          <w:rFonts w:eastAsia="方正小标宋_GBK"/>
          <w:sz w:val="44"/>
          <w:szCs w:val="44"/>
        </w:rPr>
        <w:t>预算公开情况说明</w:t>
      </w:r>
    </w:p>
    <w:p>
      <w:pPr>
        <w:numPr>
          <w:ilvl w:val="0"/>
          <w:numId w:val="0"/>
        </w:numPr>
        <w:ind w:firstLine="640" w:firstLineChars="200"/>
        <w:jc w:val="left"/>
        <w:rPr>
          <w:rFonts w:eastAsia="方正仿宋_GBK"/>
          <w:sz w:val="32"/>
          <w:szCs w:val="32"/>
        </w:rPr>
      </w:pPr>
      <w:r>
        <w:rPr>
          <w:rFonts w:hint="eastAsia" w:ascii="方正楷体_GBK" w:eastAsia="方正楷体_GBK"/>
          <w:b/>
          <w:sz w:val="32"/>
          <w:szCs w:val="32"/>
        </w:rPr>
        <w:t>（一）单位职责、机构设置等基本情况</w:t>
      </w:r>
      <w:r>
        <w:rPr>
          <w:rFonts w:eastAsia="方正仿宋_GBK"/>
          <w:sz w:val="32"/>
          <w:szCs w:val="32"/>
        </w:rPr>
        <w:t>：</w:t>
      </w:r>
    </w:p>
    <w:p>
      <w:pPr>
        <w:numPr>
          <w:ilvl w:val="0"/>
          <w:numId w:val="0"/>
        </w:numPr>
        <w:ind w:firstLine="640" w:firstLineChars="200"/>
        <w:jc w:val="left"/>
        <w:rPr>
          <w:rFonts w:hint="eastAsia" w:hAnsi="宋体"/>
          <w:b/>
          <w:sz w:val="32"/>
        </w:rPr>
      </w:pPr>
      <w:r>
        <w:rPr>
          <w:rFonts w:hint="eastAsia" w:ascii="方正楷体_GBK" w:eastAsia="方正楷体_GBK"/>
          <w:b/>
          <w:sz w:val="32"/>
        </w:rPr>
        <w:t>单位职责：</w:t>
      </w:r>
    </w:p>
    <w:p>
      <w:pPr>
        <w:ind w:firstLine="640" w:firstLineChars="200"/>
        <w:rPr>
          <w:rFonts w:ascii="Times New Roman" w:hAnsi="Times New Roman" w:eastAsia="方正仿宋_GBK" w:cs="Times New Roman"/>
          <w:sz w:val="32"/>
          <w:szCs w:val="32"/>
        </w:rPr>
      </w:pPr>
      <w:r>
        <w:rPr>
          <w:rFonts w:ascii="Times New Roman" w:hAnsi="Times New Roman" w:eastAsia="方正仿宋_GBK"/>
          <w:sz w:val="32"/>
          <w:szCs w:val="32"/>
        </w:rPr>
        <w:t>自</w:t>
      </w:r>
      <w:r>
        <w:rPr>
          <w:rFonts w:ascii="Times New Roman" w:hAnsi="Times New Roman" w:eastAsia="方正仿宋_GBK" w:cs="Times New Roman"/>
          <w:sz w:val="32"/>
          <w:szCs w:val="32"/>
        </w:rPr>
        <w:t>实行《中华人民共和国道路交通安全法》以来，曲阳县交警大队现有技术装备和基础设施及管理手段已不适应新交法实施要求，为切实保证人民生命财产安全，维护良好的经济发展环境，明年我单位要整合资金集中财力重点安排系统交通设施和技术装备、执法设备落后的状况，为人民群众出行提供安全保障,打击违法犯罪活动,维护社会稳定.</w:t>
      </w:r>
    </w:p>
    <w:p>
      <w:pPr>
        <w:spacing w:line="500" w:lineRule="auto"/>
        <w:ind w:firstLine="560"/>
        <w:rPr>
          <w:rFonts w:ascii="Times New Roman" w:hAnsi="Times New Roman" w:eastAsia="方正仿宋_GBK"/>
          <w:sz w:val="32"/>
          <w:szCs w:val="32"/>
        </w:rPr>
      </w:pPr>
      <w:r>
        <w:rPr>
          <w:rFonts w:ascii="Times New Roman" w:hAnsi="Times New Roman" w:eastAsia="方正仿宋_GBK"/>
          <w:sz w:val="32"/>
          <w:szCs w:val="32"/>
        </w:rPr>
        <w:t>一、</w:t>
      </w:r>
      <w:r>
        <w:rPr>
          <w:rFonts w:hint="eastAsia" w:ascii="Times New Roman" w:hAnsi="Times New Roman" w:eastAsia="方正仿宋_GBK"/>
          <w:sz w:val="32"/>
          <w:szCs w:val="32"/>
          <w:lang w:eastAsia="zh-CN"/>
        </w:rPr>
        <w:t>道路交通</w:t>
      </w:r>
      <w:r>
        <w:rPr>
          <w:rFonts w:ascii="Times New Roman" w:hAnsi="Times New Roman" w:eastAsia="方正仿宋_GBK"/>
          <w:sz w:val="32"/>
          <w:szCs w:val="32"/>
        </w:rPr>
        <w:t>管理</w:t>
      </w:r>
    </w:p>
    <w:p>
      <w:pPr>
        <w:spacing w:line="500" w:lineRule="auto"/>
        <w:ind w:firstLine="560"/>
        <w:rPr>
          <w:rFonts w:ascii="Times New Roman" w:hAnsi="Times New Roman" w:eastAsia="方正仿宋_GBK" w:cs="Times New Roman"/>
          <w:sz w:val="32"/>
          <w:szCs w:val="32"/>
        </w:rPr>
      </w:pPr>
      <w:r>
        <w:rPr>
          <w:rFonts w:ascii="Times New Roman" w:hAnsi="Times New Roman" w:eastAsia="方正仿宋_GBK"/>
          <w:sz w:val="32"/>
          <w:szCs w:val="32"/>
        </w:rPr>
        <w:t>1、</w:t>
      </w:r>
      <w:r>
        <w:rPr>
          <w:rFonts w:ascii="Times New Roman" w:hAnsi="Times New Roman" w:eastAsia="方正仿宋_GBK" w:cs="Times New Roman"/>
          <w:sz w:val="32"/>
          <w:szCs w:val="32"/>
        </w:rPr>
        <w:t>曲阳县公安局交通管理大队加强科技信息化建设和应用，提高交通管理科技信息应用能力和水平，服务广大交通参与者，提高公安交警科技装备水平。能够第一时间掌握路面情况，第一时间发布指令，提升应急反应能为进一步促进公安机关职能作用的发挥，保证公安机关严格公正文明执法，维护人民群众切身利益，为公安机关的工作提供强有力的经济保障，全面维护全县人民的安全，有效维护全县社会稳定，打击犯罪，使交通事故处理办结率（%）达到85%以上，交通事故下降率20%。</w:t>
      </w:r>
    </w:p>
    <w:p>
      <w:pPr>
        <w:spacing w:line="500" w:lineRule="auto"/>
        <w:ind w:firstLine="560"/>
        <w:rPr>
          <w:rFonts w:ascii="Times New Roman" w:hAnsi="Times New Roman" w:eastAsia="方正仿宋_GBK" w:cs="Times New Roman"/>
          <w:sz w:val="32"/>
          <w:szCs w:val="32"/>
        </w:rPr>
      </w:pPr>
      <w:r>
        <w:rPr>
          <w:rFonts w:ascii="Times New Roman" w:hAnsi="Times New Roman" w:eastAsia="方正仿宋_GBK"/>
          <w:sz w:val="32"/>
          <w:szCs w:val="32"/>
        </w:rPr>
        <w:t>2、</w:t>
      </w:r>
      <w:r>
        <w:rPr>
          <w:rFonts w:ascii="Times New Roman" w:hAnsi="Times New Roman" w:eastAsia="方正仿宋_GBK" w:cs="Times New Roman"/>
          <w:sz w:val="32"/>
          <w:szCs w:val="32"/>
        </w:rPr>
        <w:t>提高公安交警科技装备水平，确保重大突发事件得到及时处置，完成电子卡口建设,加大卡口监管力度，对交通肇事等违法犯罪行为进行有效遏制,降低违法行为维护良好社会秩序,业务保障能力提升20%。</w:t>
      </w:r>
    </w:p>
    <w:p>
      <w:pPr>
        <w:spacing w:line="500" w:lineRule="auto"/>
        <w:ind w:firstLine="560"/>
        <w:rPr>
          <w:rFonts w:ascii="Times New Roman" w:hAnsi="Times New Roman" w:eastAsia="方正仿宋_GBK" w:cs="Times New Roman"/>
          <w:sz w:val="32"/>
          <w:szCs w:val="32"/>
        </w:rPr>
      </w:pPr>
      <w:r>
        <w:rPr>
          <w:rFonts w:ascii="Times New Roman" w:hAnsi="Times New Roman" w:eastAsia="方正仿宋_GBK" w:cs="Times New Roman"/>
          <w:sz w:val="32"/>
          <w:szCs w:val="32"/>
        </w:rPr>
        <w:t>二、车辆和驾驶人管理：规范机动车登记行为，保护公民、法人和其他组织的合法权益，促进经济、社会发展，保障道路交通安全；促进提高机动车驾驶人安全文明驾驶素质，全力预防和减少重特大道路交通事故。</w:t>
      </w:r>
    </w:p>
    <w:p>
      <w:pPr>
        <w:spacing w:line="500" w:lineRule="auto"/>
        <w:ind w:firstLine="560"/>
        <w:rPr>
          <w:rFonts w:ascii="Times New Roman" w:hAnsi="Times New Roman" w:eastAsia="方正仿宋_GBK"/>
          <w:sz w:val="32"/>
          <w:szCs w:val="32"/>
        </w:rPr>
      </w:pPr>
      <w:r>
        <w:rPr>
          <w:rFonts w:ascii="Times New Roman" w:hAnsi="Times New Roman" w:eastAsia="方正仿宋_GBK" w:cs="Times New Roman"/>
          <w:sz w:val="32"/>
          <w:szCs w:val="32"/>
        </w:rPr>
        <w:t>三、交管政务管理：开展交通法制建设与安全宣传、交警系统行政性收费和经费保障工作、队伍建设工作指导和调研工作，组织、规划交通管理信息化建设与应用、通讯网建设和交通管理信息系统建设推广，开展新技术推</w:t>
      </w:r>
      <w:r>
        <w:rPr>
          <w:rFonts w:ascii="Times New Roman" w:hAnsi="Times New Roman" w:eastAsia="方正仿宋_GBK"/>
          <w:sz w:val="32"/>
          <w:szCs w:val="32"/>
        </w:rPr>
        <w:t>广应用工作。</w:t>
      </w:r>
    </w:p>
    <w:p>
      <w:pPr>
        <w:ind w:firstLine="640" w:firstLineChars="200"/>
        <w:jc w:val="left"/>
        <w:rPr>
          <w:rFonts w:hint="eastAsia" w:hAnsi="宋体"/>
          <w:b/>
          <w:sz w:val="32"/>
        </w:rPr>
      </w:pPr>
      <w:r>
        <w:rPr>
          <w:rFonts w:hint="eastAsia" w:ascii="方正楷体_GBK" w:eastAsia="方正楷体_GBK"/>
          <w:b/>
          <w:sz w:val="32"/>
        </w:rPr>
        <w:t>机构设置：</w:t>
      </w:r>
    </w:p>
    <w:p>
      <w:pPr>
        <w:ind w:firstLine="2880" w:firstLineChars="900"/>
        <w:jc w:val="both"/>
        <w:rPr>
          <w:rFonts w:hint="eastAsia" w:ascii="方正小标宋_GBK" w:eastAsia="方正小标宋_GBK"/>
          <w:sz w:val="32"/>
        </w:rPr>
      </w:pPr>
      <w:r>
        <w:rPr>
          <w:rFonts w:hint="eastAsia" w:ascii="方正小标宋_GBK" w:eastAsia="方正小标宋_GBK"/>
          <w:sz w:val="32"/>
        </w:rPr>
        <w:t>部门机构设置情况</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1876"/>
        <w:gridCol w:w="2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500" w:lineRule="exact"/>
              <w:ind w:firstLine="560" w:firstLineChars="200"/>
              <w:jc w:val="left"/>
              <w:rPr>
                <w:rFonts w:hint="eastAsia" w:eastAsia="方正仿宋_GBK"/>
                <w:sz w:val="28"/>
                <w:lang w:eastAsia="zh-CN"/>
              </w:rPr>
            </w:pPr>
            <w:r>
              <w:rPr>
                <w:rFonts w:hint="eastAsia" w:eastAsia="方正仿宋_GBK"/>
                <w:sz w:val="28"/>
                <w:lang w:eastAsia="zh-CN"/>
              </w:rPr>
              <w:t>单位名称</w:t>
            </w:r>
          </w:p>
        </w:tc>
        <w:tc>
          <w:tcPr>
            <w:tcW w:w="2130" w:type="dxa"/>
          </w:tcPr>
          <w:p>
            <w:pPr>
              <w:spacing w:line="500" w:lineRule="exact"/>
              <w:ind w:firstLine="560" w:firstLineChars="200"/>
              <w:jc w:val="left"/>
              <w:rPr>
                <w:rFonts w:hint="eastAsia" w:eastAsia="方正仿宋_GBK"/>
                <w:sz w:val="28"/>
                <w:lang w:eastAsia="zh-CN"/>
              </w:rPr>
            </w:pPr>
            <w:r>
              <w:rPr>
                <w:rFonts w:hint="eastAsia" w:eastAsia="方正仿宋_GBK"/>
                <w:sz w:val="28"/>
                <w:lang w:eastAsia="zh-CN"/>
              </w:rPr>
              <w:t>单位性质</w:t>
            </w:r>
          </w:p>
        </w:tc>
        <w:tc>
          <w:tcPr>
            <w:tcW w:w="1876" w:type="dxa"/>
          </w:tcPr>
          <w:p>
            <w:pPr>
              <w:spacing w:line="500" w:lineRule="exact"/>
              <w:jc w:val="left"/>
              <w:rPr>
                <w:rFonts w:hint="eastAsia" w:eastAsia="方正仿宋_GBK"/>
                <w:sz w:val="28"/>
                <w:lang w:eastAsia="zh-CN"/>
              </w:rPr>
            </w:pPr>
            <w:r>
              <w:rPr>
                <w:rFonts w:hint="eastAsia" w:eastAsia="方正仿宋_GBK"/>
                <w:sz w:val="28"/>
                <w:lang w:eastAsia="zh-CN"/>
              </w:rPr>
              <w:t>单位规格</w:t>
            </w:r>
          </w:p>
        </w:tc>
        <w:tc>
          <w:tcPr>
            <w:tcW w:w="2386" w:type="dxa"/>
          </w:tcPr>
          <w:p>
            <w:pPr>
              <w:spacing w:line="500" w:lineRule="exact"/>
              <w:jc w:val="left"/>
              <w:rPr>
                <w:rFonts w:hint="eastAsia" w:eastAsia="方正仿宋_GBK"/>
                <w:sz w:val="28"/>
                <w:lang w:eastAsia="zh-CN"/>
              </w:rPr>
            </w:pPr>
            <w:r>
              <w:rPr>
                <w:rFonts w:hint="eastAsia" w:eastAsia="方正仿宋_GBK"/>
                <w:sz w:val="28"/>
                <w:lang w:eastAsia="zh-CN"/>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500" w:lineRule="exact"/>
              <w:ind w:firstLine="560" w:firstLineChars="200"/>
              <w:jc w:val="left"/>
              <w:rPr>
                <w:rFonts w:hint="eastAsia" w:eastAsia="方正仿宋_GBK"/>
                <w:sz w:val="28"/>
                <w:lang w:eastAsia="zh-CN"/>
              </w:rPr>
            </w:pPr>
            <w:r>
              <w:rPr>
                <w:rFonts w:hint="eastAsia" w:eastAsia="方正仿宋_GBK"/>
                <w:sz w:val="28"/>
                <w:lang w:eastAsia="zh-CN"/>
              </w:rPr>
              <w:t>曲阳县公安局交通管理大队</w:t>
            </w:r>
          </w:p>
        </w:tc>
        <w:tc>
          <w:tcPr>
            <w:tcW w:w="2130" w:type="dxa"/>
          </w:tcPr>
          <w:p>
            <w:pPr>
              <w:spacing w:line="500" w:lineRule="exact"/>
              <w:ind w:firstLine="560" w:firstLineChars="200"/>
              <w:jc w:val="left"/>
              <w:rPr>
                <w:rFonts w:hint="eastAsia" w:eastAsia="方正仿宋_GBK"/>
                <w:sz w:val="28"/>
                <w:lang w:eastAsia="zh-CN"/>
              </w:rPr>
            </w:pPr>
            <w:r>
              <w:rPr>
                <w:rFonts w:hint="eastAsia" w:eastAsia="方正仿宋_GBK"/>
                <w:sz w:val="28"/>
                <w:lang w:eastAsia="zh-CN"/>
              </w:rPr>
              <w:t>行政</w:t>
            </w:r>
          </w:p>
        </w:tc>
        <w:tc>
          <w:tcPr>
            <w:tcW w:w="1876" w:type="dxa"/>
          </w:tcPr>
          <w:p>
            <w:pPr>
              <w:spacing w:line="500" w:lineRule="exact"/>
              <w:ind w:firstLine="560" w:firstLineChars="200"/>
              <w:jc w:val="left"/>
              <w:rPr>
                <w:rFonts w:hint="eastAsia" w:eastAsia="方正仿宋_GBK"/>
                <w:sz w:val="28"/>
                <w:lang w:eastAsia="zh-CN"/>
              </w:rPr>
            </w:pPr>
            <w:r>
              <w:rPr>
                <w:rFonts w:hint="eastAsia" w:eastAsia="方正仿宋_GBK"/>
                <w:sz w:val="28"/>
                <w:lang w:eastAsia="zh-CN"/>
              </w:rPr>
              <w:t>副科级</w:t>
            </w:r>
          </w:p>
        </w:tc>
        <w:tc>
          <w:tcPr>
            <w:tcW w:w="2386" w:type="dxa"/>
          </w:tcPr>
          <w:p>
            <w:pPr>
              <w:spacing w:line="500" w:lineRule="exact"/>
              <w:ind w:firstLine="560" w:firstLineChars="200"/>
              <w:jc w:val="left"/>
              <w:rPr>
                <w:rFonts w:hint="eastAsia" w:eastAsia="方正仿宋_GBK"/>
                <w:sz w:val="28"/>
                <w:lang w:eastAsia="zh-CN"/>
              </w:rPr>
            </w:pPr>
            <w:r>
              <w:rPr>
                <w:rFonts w:hint="eastAsia" w:eastAsia="方正仿宋_GBK"/>
                <w:sz w:val="28"/>
                <w:lang w:eastAsia="zh-CN"/>
              </w:rPr>
              <w:t>财政拨款</w:t>
            </w:r>
          </w:p>
        </w:tc>
      </w:tr>
    </w:tbl>
    <w:p>
      <w:pPr>
        <w:numPr>
          <w:ilvl w:val="0"/>
          <w:numId w:val="1"/>
        </w:numPr>
        <w:ind w:left="630" w:leftChars="0" w:firstLineChars="0"/>
        <w:jc w:val="both"/>
        <w:rPr>
          <w:rFonts w:eastAsia="方正仿宋_GBK"/>
          <w:sz w:val="32"/>
          <w:szCs w:val="32"/>
        </w:rPr>
      </w:pPr>
      <w:r>
        <w:rPr>
          <w:rFonts w:ascii="方正楷体_GBK" w:eastAsia="方正楷体_GBK"/>
          <w:b/>
          <w:sz w:val="32"/>
          <w:szCs w:val="32"/>
        </w:rPr>
        <w:t>单位预算安排的总体情况</w:t>
      </w:r>
      <w:r>
        <w:rPr>
          <w:rFonts w:eastAsia="方正仿宋_GBK"/>
          <w:sz w:val="32"/>
          <w:szCs w:val="32"/>
        </w:rPr>
        <w:t>：</w:t>
      </w:r>
    </w:p>
    <w:p>
      <w:pPr>
        <w:spacing w:line="500" w:lineRule="auto"/>
        <w:ind w:firstLine="56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按照预算管理有关规定，目前我单位预算的编制实行综合预算管理，即全部收入和支出都反映在预算中。曲阳县公安局交通管理大队机关及所属事业单位的收支包含在单位预算中。</w:t>
      </w:r>
    </w:p>
    <w:p>
      <w:pPr>
        <w:spacing w:line="500" w:lineRule="auto"/>
        <w:ind w:firstLine="56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单位</w:t>
      </w:r>
      <w:r>
        <w:rPr>
          <w:rFonts w:ascii="Times New Roman" w:hAnsi="Times New Roman" w:eastAsia="方正仿宋_GBK" w:cs="Times New Roman"/>
          <w:sz w:val="32"/>
          <w:szCs w:val="32"/>
        </w:rPr>
        <w:t>预算安排的总体情况</w:t>
      </w:r>
    </w:p>
    <w:p>
      <w:pPr>
        <w:spacing w:line="500" w:lineRule="auto"/>
        <w:ind w:firstLine="56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1、收入说明</w:t>
      </w:r>
    </w:p>
    <w:p>
      <w:pPr>
        <w:spacing w:line="500" w:lineRule="auto"/>
        <w:ind w:firstLine="56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2021年预算收入</w:t>
      </w:r>
      <w:r>
        <w:rPr>
          <w:rFonts w:hint="eastAsia" w:ascii="Times New Roman" w:hAnsi="Times New Roman" w:eastAsia="方正仿宋_GBK" w:cs="Times New Roman"/>
          <w:sz w:val="32"/>
          <w:szCs w:val="32"/>
          <w:lang w:val="en-US" w:eastAsia="zh-CN"/>
        </w:rPr>
        <w:t>137</w:t>
      </w:r>
      <w:r>
        <w:rPr>
          <w:rFonts w:hint="eastAsia" w:ascii="Times New Roman" w:hAnsi="Times New Roman" w:eastAsia="方正仿宋_GBK" w:cs="Times New Roman"/>
          <w:sz w:val="32"/>
          <w:szCs w:val="32"/>
        </w:rPr>
        <w:t>万元，其中：其中：一般公共预算收入</w:t>
      </w:r>
      <w:r>
        <w:rPr>
          <w:rFonts w:hint="eastAsia" w:ascii="Times New Roman" w:hAnsi="Times New Roman" w:eastAsia="方正仿宋_GBK" w:cs="Times New Roman"/>
          <w:sz w:val="32"/>
          <w:szCs w:val="32"/>
          <w:lang w:val="en-US" w:eastAsia="zh-CN"/>
        </w:rPr>
        <w:t>137</w:t>
      </w:r>
      <w:r>
        <w:rPr>
          <w:rFonts w:hint="eastAsia" w:ascii="Times New Roman" w:hAnsi="Times New Roman" w:eastAsia="方正仿宋_GBK" w:cs="Times New Roman"/>
          <w:sz w:val="32"/>
          <w:szCs w:val="32"/>
        </w:rPr>
        <w:t>万元，基金预算收入0万元，财政专户核拨收入0万元，其他来源收入0万元。</w:t>
      </w:r>
    </w:p>
    <w:p>
      <w:pPr>
        <w:spacing w:line="500" w:lineRule="auto"/>
        <w:ind w:firstLine="56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2、支出说明</w:t>
      </w:r>
    </w:p>
    <w:p>
      <w:pPr>
        <w:spacing w:line="500" w:lineRule="auto"/>
        <w:ind w:firstLine="56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收支预算总表支出栏、基本支出表、项目支出表按经济分类和支出功能分类科目编制，反映曲阳县公安局交通管理大队年度单位预算中支出预算的总体情况。2021年支出预算</w:t>
      </w:r>
      <w:r>
        <w:rPr>
          <w:rFonts w:hint="eastAsia" w:ascii="Times New Roman" w:hAnsi="Times New Roman" w:eastAsia="方正仿宋_GBK" w:cs="Times New Roman"/>
          <w:sz w:val="32"/>
          <w:szCs w:val="32"/>
          <w:lang w:val="en-US" w:eastAsia="zh-CN"/>
        </w:rPr>
        <w:t>137</w:t>
      </w:r>
      <w:r>
        <w:rPr>
          <w:rFonts w:hint="eastAsia" w:ascii="Times New Roman" w:hAnsi="Times New Roman" w:eastAsia="方正仿宋_GBK" w:cs="Times New Roman"/>
          <w:sz w:val="32"/>
          <w:szCs w:val="32"/>
        </w:rPr>
        <w:t>万元，其中项目支出</w:t>
      </w:r>
      <w:r>
        <w:rPr>
          <w:rFonts w:hint="eastAsia" w:ascii="Times New Roman" w:hAnsi="Times New Roman" w:eastAsia="方正仿宋_GBK" w:cs="Times New Roman"/>
          <w:sz w:val="32"/>
          <w:szCs w:val="32"/>
          <w:lang w:val="en-US" w:eastAsia="zh-CN"/>
        </w:rPr>
        <w:t>137</w:t>
      </w:r>
      <w:r>
        <w:rPr>
          <w:rFonts w:hint="eastAsia"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w:t>
      </w:r>
    </w:p>
    <w:p>
      <w:pPr>
        <w:spacing w:line="500" w:lineRule="auto"/>
        <w:ind w:firstLine="56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3、比上年增减情况</w:t>
      </w:r>
    </w:p>
    <w:p>
      <w:pPr>
        <w:spacing w:line="500" w:lineRule="auto"/>
        <w:ind w:firstLine="56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2021年预算收支安排</w:t>
      </w:r>
      <w:r>
        <w:rPr>
          <w:rFonts w:hint="eastAsia" w:ascii="Times New Roman" w:hAnsi="Times New Roman" w:eastAsia="方正仿宋_GBK" w:cs="Times New Roman"/>
          <w:sz w:val="32"/>
          <w:szCs w:val="32"/>
          <w:lang w:val="en-US" w:eastAsia="zh-CN"/>
        </w:rPr>
        <w:t>137</w:t>
      </w:r>
      <w:r>
        <w:rPr>
          <w:rFonts w:hint="eastAsia" w:ascii="Times New Roman" w:hAnsi="Times New Roman" w:eastAsia="方正仿宋_GBK" w:cs="Times New Roman"/>
          <w:sz w:val="32"/>
          <w:szCs w:val="32"/>
        </w:rPr>
        <w:t>万元，较2020年预算</w:t>
      </w:r>
      <w:r>
        <w:rPr>
          <w:rFonts w:hint="eastAsia" w:ascii="Times New Roman" w:hAnsi="Times New Roman" w:eastAsia="方正仿宋_GBK" w:cs="Times New Roman"/>
          <w:sz w:val="32"/>
          <w:szCs w:val="32"/>
          <w:lang w:eastAsia="zh-CN"/>
        </w:rPr>
        <w:t>减少</w:t>
      </w:r>
      <w:r>
        <w:rPr>
          <w:rFonts w:hint="eastAsia" w:ascii="Times New Roman" w:hAnsi="Times New Roman" w:eastAsia="方正仿宋_GBK" w:cs="Times New Roman"/>
          <w:sz w:val="32"/>
          <w:szCs w:val="32"/>
          <w:lang w:val="en-US" w:eastAsia="zh-CN"/>
        </w:rPr>
        <w:t>45.36</w:t>
      </w:r>
      <w:r>
        <w:rPr>
          <w:rFonts w:hint="eastAsia" w:ascii="Times New Roman" w:hAnsi="Times New Roman" w:eastAsia="方正仿宋_GBK" w:cs="Times New Roman"/>
          <w:sz w:val="32"/>
          <w:szCs w:val="32"/>
        </w:rPr>
        <w:t>万元，其中：</w:t>
      </w:r>
      <w:r>
        <w:rPr>
          <w:rFonts w:hint="eastAsia" w:ascii="Times New Roman" w:hAnsi="Times New Roman" w:eastAsia="方正仿宋_GBK" w:cs="Times New Roman"/>
          <w:sz w:val="32"/>
          <w:szCs w:val="32"/>
          <w:lang w:eastAsia="zh-CN"/>
        </w:rPr>
        <w:t>项目</w:t>
      </w:r>
      <w:r>
        <w:rPr>
          <w:rFonts w:hint="eastAsia" w:ascii="Times New Roman" w:hAnsi="Times New Roman" w:eastAsia="方正仿宋_GBK" w:cs="Times New Roman"/>
          <w:sz w:val="32"/>
          <w:szCs w:val="32"/>
        </w:rPr>
        <w:t>支出</w:t>
      </w:r>
      <w:r>
        <w:rPr>
          <w:rFonts w:hint="eastAsia" w:ascii="Times New Roman" w:hAnsi="Times New Roman" w:eastAsia="方正仿宋_GBK" w:cs="Times New Roman"/>
          <w:sz w:val="32"/>
          <w:szCs w:val="32"/>
          <w:lang w:eastAsia="zh-CN"/>
        </w:rPr>
        <w:t>减少</w:t>
      </w:r>
      <w:r>
        <w:rPr>
          <w:rFonts w:hint="eastAsia" w:ascii="Times New Roman" w:hAnsi="Times New Roman" w:eastAsia="方正仿宋_GBK" w:cs="Times New Roman"/>
          <w:sz w:val="32"/>
          <w:szCs w:val="32"/>
          <w:lang w:val="en-US" w:eastAsia="zh-CN"/>
        </w:rPr>
        <w:t>45.36</w:t>
      </w:r>
      <w:r>
        <w:rPr>
          <w:rFonts w:hint="eastAsia"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，主要原因是疫情影响项目进展。</w:t>
      </w:r>
    </w:p>
    <w:p>
      <w:pPr>
        <w:numPr>
          <w:ilvl w:val="0"/>
          <w:numId w:val="1"/>
        </w:numPr>
        <w:spacing w:line="500" w:lineRule="exact"/>
        <w:ind w:left="630" w:leftChars="0" w:firstLine="0" w:firstLineChars="0"/>
        <w:jc w:val="left"/>
        <w:rPr>
          <w:rFonts w:ascii="方正楷体_GBK" w:eastAsia="方正楷体_GBK"/>
          <w:b/>
          <w:sz w:val="32"/>
          <w:szCs w:val="32"/>
        </w:rPr>
      </w:pPr>
      <w:r>
        <w:rPr>
          <w:rFonts w:ascii="方正楷体_GBK" w:eastAsia="方正楷体_GBK"/>
          <w:b/>
          <w:sz w:val="32"/>
          <w:szCs w:val="32"/>
        </w:rPr>
        <w:t>机关运行经费安排情况：</w:t>
      </w:r>
    </w:p>
    <w:p>
      <w:pPr>
        <w:autoSpaceDE w:val="0"/>
        <w:autoSpaceDN w:val="0"/>
        <w:adjustRightInd w:val="0"/>
        <w:ind w:left="198" w:firstLine="640" w:firstLineChars="200"/>
        <w:jc w:val="left"/>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本单位2021年机关运行经费安排0万元。</w:t>
      </w:r>
    </w:p>
    <w:p>
      <w:pPr>
        <w:numPr>
          <w:ilvl w:val="0"/>
          <w:numId w:val="1"/>
        </w:numPr>
        <w:spacing w:line="500" w:lineRule="exact"/>
        <w:ind w:left="630" w:leftChars="0" w:firstLine="0" w:firstLineChars="0"/>
        <w:jc w:val="left"/>
        <w:rPr>
          <w:rFonts w:eastAsia="方正仿宋_GBK"/>
          <w:sz w:val="32"/>
          <w:szCs w:val="32"/>
        </w:rPr>
      </w:pPr>
      <w:r>
        <w:rPr>
          <w:rFonts w:ascii="方正楷体_GBK" w:eastAsia="方正楷体_GBK"/>
          <w:b/>
          <w:sz w:val="32"/>
          <w:szCs w:val="32"/>
        </w:rPr>
        <w:t>财政拨款“三公”经费预算情况</w:t>
      </w:r>
      <w:r>
        <w:rPr>
          <w:rFonts w:eastAsia="方正仿宋_GBK"/>
          <w:sz w:val="32"/>
          <w:szCs w:val="32"/>
        </w:rPr>
        <w:t>：</w:t>
      </w:r>
    </w:p>
    <w:p>
      <w:pPr>
        <w:autoSpaceDE w:val="0"/>
        <w:autoSpaceDN w:val="0"/>
        <w:adjustRightInd w:val="0"/>
        <w:ind w:left="198"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lang w:val="en-US" w:eastAsia="zh-CN"/>
        </w:rPr>
        <w:t>2</w:t>
      </w:r>
      <w:r>
        <w:rPr>
          <w:rFonts w:ascii="Times New Roman" w:hAnsi="Times New Roman" w:eastAsia="方正仿宋_GBK"/>
          <w:sz w:val="32"/>
          <w:szCs w:val="32"/>
        </w:rPr>
        <w:t>021年，我</w:t>
      </w:r>
      <w:r>
        <w:rPr>
          <w:rFonts w:hint="eastAsia" w:ascii="Times New Roman" w:hAnsi="Times New Roman" w:eastAsia="方正仿宋_GBK"/>
          <w:sz w:val="32"/>
          <w:szCs w:val="32"/>
        </w:rPr>
        <w:t>大</w:t>
      </w:r>
      <w:r>
        <w:rPr>
          <w:rFonts w:ascii="Times New Roman" w:hAnsi="Times New Roman" w:eastAsia="方正仿宋_GBK"/>
          <w:sz w:val="32"/>
          <w:szCs w:val="32"/>
        </w:rPr>
        <w:t>队财政拨款“三公”经费预算安排</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万元，其中因公出国（境）费0万元；公务用车购置及运维费</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万元（其中：公务用车运维费</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万元)；公务接待费</w:t>
      </w:r>
      <w:r>
        <w:rPr>
          <w:rFonts w:hint="eastAsia" w:ascii="Times New Roman" w:hAnsi="Times New Roman"/>
          <w:sz w:val="32"/>
          <w:szCs w:val="32"/>
        </w:rPr>
        <w:t>0</w:t>
      </w:r>
      <w:r>
        <w:rPr>
          <w:rFonts w:ascii="Times New Roman" w:hAnsi="Times New Roman" w:eastAsia="方正仿宋_GBK"/>
          <w:sz w:val="32"/>
          <w:szCs w:val="32"/>
        </w:rPr>
        <w:t>万元。与2020年相比持平，无增减变化。</w:t>
      </w:r>
    </w:p>
    <w:p>
      <w:pPr>
        <w:numPr>
          <w:ilvl w:val="0"/>
          <w:numId w:val="0"/>
        </w:numPr>
        <w:spacing w:line="500" w:lineRule="exact"/>
        <w:ind w:firstLine="320" w:firstLineChars="100"/>
        <w:jc w:val="left"/>
        <w:rPr>
          <w:rFonts w:ascii="楷体" w:hAnsi="楷体" w:eastAsia="楷体"/>
          <w:b/>
          <w:sz w:val="32"/>
          <w:szCs w:val="32"/>
          <w:lang w:eastAsia="zh-CN"/>
        </w:rPr>
      </w:pPr>
      <w:r>
        <w:rPr>
          <w:rFonts w:hint="eastAsia" w:ascii="方正楷体_GBK" w:eastAsia="方正楷体_GBK"/>
          <w:b/>
          <w:sz w:val="32"/>
          <w:szCs w:val="32"/>
          <w:lang w:eastAsia="zh-CN"/>
        </w:rPr>
        <w:t>（五）</w:t>
      </w:r>
      <w:r>
        <w:rPr>
          <w:rFonts w:ascii="方正楷体_GBK" w:eastAsia="方正楷体_GBK"/>
          <w:b/>
          <w:sz w:val="32"/>
          <w:szCs w:val="32"/>
        </w:rPr>
        <w:t>预算绩效信息</w:t>
      </w:r>
      <w:r>
        <w:rPr>
          <w:rFonts w:hint="eastAsia" w:ascii="方正楷体_GBK" w:eastAsia="方正楷体_GBK"/>
          <w:b/>
          <w:sz w:val="32"/>
          <w:szCs w:val="32"/>
          <w:lang w:eastAsia="zh-CN"/>
        </w:rPr>
        <w:t>：预算项目绩效评价开展情况</w:t>
      </w:r>
    </w:p>
    <w:p>
      <w:pPr>
        <w:ind w:firstLine="640" w:firstLineChars="200"/>
        <w:jc w:val="left"/>
        <w:rPr>
          <w:rFonts w:ascii="Times New Roman" w:hAnsi="Times New Roman" w:eastAsia="方正仿宋_GBK"/>
          <w:b/>
          <w:sz w:val="32"/>
          <w:szCs w:val="32"/>
        </w:rPr>
      </w:pPr>
      <w:r>
        <w:rPr>
          <w:rFonts w:ascii="Times New Roman" w:hAnsi="Times New Roman" w:eastAsia="方正仿宋_GBK"/>
          <w:b/>
          <w:sz w:val="32"/>
          <w:szCs w:val="32"/>
        </w:rPr>
        <w:t>第一部分 部门整体绩效目标</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（一）总体绩效目标</w:t>
      </w:r>
    </w:p>
    <w:p>
      <w:pPr>
        <w:autoSpaceDE w:val="0"/>
        <w:autoSpaceDN w:val="0"/>
        <w:adjustRightInd w:val="0"/>
        <w:ind w:left="198"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以习近平新时代中国特色社会主义思想为统领，不忘初心、牢记使命，忠诚担当、主动作为，深入贯彻落实省委、省政府的决策部署，在省公安厅、省交警总队的坚强领导下，牢牢把握“安全、有序、畅通”的总体工作目标，认真履行工作职责。</w:t>
      </w:r>
    </w:p>
    <w:p>
      <w:pPr>
        <w:autoSpaceDE w:val="0"/>
        <w:autoSpaceDN w:val="0"/>
        <w:adjustRightInd w:val="0"/>
        <w:ind w:left="198"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严格依法行使职权，强化法制建设，狠抓教育训练，严管警辅队伍；认真做好公路交通秩序管理，保障道路警卫任务安全，确保道路安全畅通；加大交通安全宣传力度，有效提升交通事故预防及处置能力；严厉打击和防范治安、刑事案件，全力做好反恐防暴及应急处突工作，筑牢三道防线安全屏障。</w:t>
      </w:r>
    </w:p>
    <w:p>
      <w:pPr>
        <w:autoSpaceDE w:val="0"/>
        <w:autoSpaceDN w:val="0"/>
        <w:adjustRightInd w:val="0"/>
        <w:ind w:left="198"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推进智慧交管建设，不断提升交警执法能力水平；着力促进道路交通安全治理体系和治理能力现代化，在新的历史起点上努力开创高速交管工作新局面，为人民群众安全出行保驾护航，为全</w:t>
      </w:r>
      <w:r>
        <w:rPr>
          <w:rFonts w:hint="eastAsia" w:ascii="Times New Roman" w:hAnsi="Times New Roman" w:eastAsia="方正仿宋_GBK"/>
          <w:sz w:val="32"/>
          <w:szCs w:val="32"/>
        </w:rPr>
        <w:t>县</w:t>
      </w:r>
      <w:r>
        <w:rPr>
          <w:rFonts w:ascii="Times New Roman" w:hAnsi="Times New Roman" w:eastAsia="方正仿宋_GBK"/>
          <w:sz w:val="32"/>
          <w:szCs w:val="32"/>
        </w:rPr>
        <w:t xml:space="preserve">经济发展创造安全畅通的交通环境、公平公正的执法环境和优质高效的服务环境。        </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（二）分项绩效目标</w:t>
      </w:r>
    </w:p>
    <w:p>
      <w:pPr>
        <w:autoSpaceDE w:val="0"/>
        <w:autoSpaceDN w:val="0"/>
        <w:adjustRightInd w:val="0"/>
        <w:ind w:left="198"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1、提升指挥调度快速反应能力和交通秩序管控水平</w:t>
      </w:r>
    </w:p>
    <w:p>
      <w:pPr>
        <w:autoSpaceDE w:val="0"/>
        <w:autoSpaceDN w:val="0"/>
        <w:adjustRightInd w:val="0"/>
        <w:ind w:left="198"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绩效目标：提高一线执勤民警快速处警反应时间，接到警情指令后，30分钟内到达现场；通过交通秩序整治工作开展，提升交通秩序综合管控工作水平，努力完成我省交通秩序整治工程制定的公路车辆守法率达到85%的预期目标，确保高速公路平安畅通。</w:t>
      </w:r>
    </w:p>
    <w:p>
      <w:pPr>
        <w:autoSpaceDE w:val="0"/>
        <w:autoSpaceDN w:val="0"/>
        <w:adjustRightInd w:val="0"/>
        <w:ind w:left="198"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绩效指标：1.民警接处警时间，指标值：30分钟；2.通行公路车辆守法率，指标值：85%。</w:t>
      </w:r>
    </w:p>
    <w:p>
      <w:pPr>
        <w:autoSpaceDE w:val="0"/>
        <w:autoSpaceDN w:val="0"/>
        <w:adjustRightInd w:val="0"/>
        <w:ind w:left="198"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2、提升交通事故预防工作能力</w:t>
      </w:r>
    </w:p>
    <w:p>
      <w:pPr>
        <w:autoSpaceDE w:val="0"/>
        <w:autoSpaceDN w:val="0"/>
        <w:adjustRightInd w:val="0"/>
        <w:ind w:left="198"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绩效目标：通过交通违法整治、交通安全宣传和事故隐患路段排查，及时对隐患问题进行整改，有效遏制公路重特大交通事故发生。</w:t>
      </w:r>
    </w:p>
    <w:p>
      <w:pPr>
        <w:autoSpaceDE w:val="0"/>
        <w:autoSpaceDN w:val="0"/>
        <w:adjustRightInd w:val="0"/>
        <w:ind w:left="198"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绩效指标：1.道路交通安全隐患整治率，指标值：80%；2.重特大交通事故发生起数，指标值：0。</w:t>
      </w:r>
    </w:p>
    <w:p>
      <w:pPr>
        <w:autoSpaceDE w:val="0"/>
        <w:autoSpaceDN w:val="0"/>
        <w:adjustRightInd w:val="0"/>
        <w:ind w:left="198"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3、提升公路治安防控和安保维稳工作能力</w:t>
      </w:r>
    </w:p>
    <w:p>
      <w:pPr>
        <w:autoSpaceDE w:val="0"/>
        <w:autoSpaceDN w:val="0"/>
        <w:adjustRightInd w:val="0"/>
        <w:ind w:left="198"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绩效目标：通过夯实防范基础、严打各类治安刑事案件，可控性治安、刑事案件发案起数，较往年同期相比下降10%；提升安保查缉效能，过滤各类安全风险隐患，对进入安检区域的人、车、物检查数量，较往年同期相比提升10%；强力维护高速公路治安形势平稳，努力提升人民群众满意度。</w:t>
      </w:r>
    </w:p>
    <w:p>
      <w:pPr>
        <w:autoSpaceDE w:val="0"/>
        <w:autoSpaceDN w:val="0"/>
        <w:adjustRightInd w:val="0"/>
        <w:ind w:left="198"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绩效指标：1.可控性治安、刑事案件发案起数下降率，指标值：10%；2.安全检查数量增长率，指标值：10%；3.人民群众对安保工作满意度，指标值：85%。</w:t>
      </w:r>
    </w:p>
    <w:p>
      <w:pPr>
        <w:autoSpaceDE w:val="0"/>
        <w:autoSpaceDN w:val="0"/>
        <w:adjustRightInd w:val="0"/>
        <w:ind w:left="198"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4、提升交警综合管理工作能力</w:t>
      </w:r>
    </w:p>
    <w:p>
      <w:pPr>
        <w:autoSpaceDE w:val="0"/>
        <w:autoSpaceDN w:val="0"/>
        <w:adjustRightInd w:val="0"/>
        <w:ind w:left="198"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绩效目标：通过完善制度建设，提升科技装备投入，强化单兵警务技能训练，规范执勤执法，提升执法服务工作水平，确保队伍零违纪，人民群众满意度提高。</w:t>
      </w:r>
    </w:p>
    <w:p>
      <w:pPr>
        <w:numPr>
          <w:ilvl w:val="0"/>
          <w:numId w:val="0"/>
        </w:numPr>
        <w:spacing w:line="500" w:lineRule="exact"/>
        <w:ind w:leftChars="0"/>
        <w:jc w:val="left"/>
        <w:rPr>
          <w:rFonts w:eastAsia="方正仿宋_GBK"/>
          <w:sz w:val="32"/>
          <w:szCs w:val="32"/>
        </w:rPr>
      </w:pPr>
      <w:r>
        <w:rPr>
          <w:rFonts w:ascii="Times New Roman" w:hAnsi="Times New Roman" w:eastAsia="方正仿宋_GBK"/>
          <w:sz w:val="32"/>
          <w:szCs w:val="32"/>
        </w:rPr>
        <w:t>绩效指标：1.民警执勤执法违纪案件发生起数，指标值：0；2.人民群众对交警执法工作满意度，指标值：85%。</w:t>
      </w:r>
    </w:p>
    <w:p>
      <w:pPr>
        <w:numPr>
          <w:ilvl w:val="0"/>
          <w:numId w:val="0"/>
        </w:numPr>
        <w:spacing w:line="500" w:lineRule="exact"/>
        <w:ind w:left="630" w:leftChars="0"/>
        <w:jc w:val="left"/>
        <w:rPr>
          <w:rFonts w:hint="default" w:eastAsia="方正仿宋_GBK"/>
          <w:sz w:val="32"/>
          <w:szCs w:val="32"/>
          <w:lang w:val="en-US" w:eastAsia="zh-CN"/>
        </w:rPr>
      </w:pPr>
      <w:r>
        <w:rPr>
          <w:rFonts w:hint="eastAsia" w:ascii="方正楷体_GBK" w:eastAsia="方正楷体_GBK"/>
          <w:b/>
          <w:sz w:val="32"/>
          <w:szCs w:val="32"/>
          <w:lang w:eastAsia="zh-CN"/>
        </w:rPr>
        <w:t>（六）</w:t>
      </w:r>
      <w:r>
        <w:rPr>
          <w:rFonts w:ascii="方正楷体_GBK" w:eastAsia="方正楷体_GBK"/>
          <w:b/>
          <w:sz w:val="32"/>
          <w:szCs w:val="32"/>
        </w:rPr>
        <w:t>政府采购预算情况</w:t>
      </w:r>
      <w:r>
        <w:rPr>
          <w:rFonts w:eastAsia="方正仿宋_GBK"/>
          <w:sz w:val="32"/>
          <w:szCs w:val="32"/>
        </w:rPr>
        <w:t>：</w:t>
      </w:r>
    </w:p>
    <w:p>
      <w:pPr>
        <w:adjustRightInd w:val="0"/>
        <w:spacing w:line="580" w:lineRule="exact"/>
        <w:ind w:firstLine="640" w:firstLineChars="200"/>
        <w:contextualSpacing/>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本单位政府采购预算安排为0万元。</w:t>
      </w:r>
    </w:p>
    <w:p>
      <w:pPr>
        <w:numPr>
          <w:ilvl w:val="0"/>
          <w:numId w:val="0"/>
        </w:numPr>
        <w:spacing w:line="500" w:lineRule="exact"/>
        <w:ind w:left="630" w:leftChars="0"/>
        <w:jc w:val="left"/>
        <w:rPr>
          <w:rFonts w:eastAsia="方正仿宋_GBK"/>
          <w:sz w:val="32"/>
          <w:szCs w:val="32"/>
        </w:rPr>
      </w:pPr>
      <w:r>
        <w:rPr>
          <w:rFonts w:hint="eastAsia" w:ascii="方正楷体_GBK" w:eastAsia="方正楷体_GBK"/>
          <w:b/>
          <w:sz w:val="32"/>
          <w:szCs w:val="32"/>
          <w:lang w:eastAsia="zh-CN"/>
        </w:rPr>
        <w:t>（七）</w:t>
      </w:r>
      <w:r>
        <w:rPr>
          <w:rFonts w:ascii="方正楷体_GBK" w:eastAsia="方正楷体_GBK"/>
          <w:b/>
          <w:sz w:val="32"/>
          <w:szCs w:val="32"/>
        </w:rPr>
        <w:t>国有资产信息</w:t>
      </w:r>
      <w:r>
        <w:rPr>
          <w:rFonts w:eastAsia="方正仿宋_GBK"/>
          <w:sz w:val="32"/>
          <w:szCs w:val="32"/>
        </w:rPr>
        <w:t>：</w:t>
      </w:r>
    </w:p>
    <w:p>
      <w:pPr>
        <w:adjustRightInd w:val="0"/>
        <w:spacing w:line="580" w:lineRule="exact"/>
        <w:ind w:firstLine="640" w:firstLineChars="200"/>
        <w:contextualSpacing/>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曲阳县公安局交通管理大队（含所属单位）上年末固定资产金额为263.49万元（详见下表）。本年度拟购置固定资产总额为，已按要求列入政府采购预算，详见政府采购预算表。</w:t>
      </w:r>
    </w:p>
    <w:p>
      <w:pPr>
        <w:jc w:val="center"/>
        <w:rPr>
          <w:rFonts w:hint="eastAsia" w:hAnsi="宋体"/>
          <w:sz w:val="36"/>
        </w:rPr>
      </w:pPr>
      <w:r>
        <w:rPr>
          <w:rFonts w:hint="eastAsia" w:ascii="方正小标宋_GBK" w:eastAsia="方正小标宋_GBK"/>
          <w:sz w:val="36"/>
        </w:rPr>
        <w:t>部门固定资产占用情况表</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1145"/>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6" w:type="dxa"/>
          </w:tcPr>
          <w:p>
            <w:pPr>
              <w:adjustRightInd w:val="0"/>
              <w:spacing w:line="580" w:lineRule="exact"/>
              <w:contextualSpacing/>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项目</w:t>
            </w:r>
          </w:p>
        </w:tc>
        <w:tc>
          <w:tcPr>
            <w:tcW w:w="1145" w:type="dxa"/>
          </w:tcPr>
          <w:p>
            <w:pPr>
              <w:adjustRightInd w:val="0"/>
              <w:spacing w:line="580" w:lineRule="exact"/>
              <w:contextualSpacing/>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数量</w:t>
            </w:r>
          </w:p>
        </w:tc>
        <w:tc>
          <w:tcPr>
            <w:tcW w:w="2841" w:type="dxa"/>
          </w:tcPr>
          <w:p>
            <w:pPr>
              <w:adjustRightInd w:val="0"/>
              <w:spacing w:line="580" w:lineRule="exact"/>
              <w:contextualSpacing/>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6" w:type="dxa"/>
          </w:tcPr>
          <w:p>
            <w:pPr>
              <w:adjustRightInd w:val="0"/>
              <w:spacing w:line="580" w:lineRule="exact"/>
              <w:contextualSpacing/>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资产总额</w:t>
            </w:r>
          </w:p>
        </w:tc>
        <w:tc>
          <w:tcPr>
            <w:tcW w:w="1145" w:type="dxa"/>
          </w:tcPr>
          <w:p>
            <w:pPr>
              <w:adjustRightInd w:val="0"/>
              <w:spacing w:line="580" w:lineRule="exact"/>
              <w:contextualSpacing/>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125</w:t>
            </w:r>
          </w:p>
        </w:tc>
        <w:tc>
          <w:tcPr>
            <w:tcW w:w="2841" w:type="dxa"/>
          </w:tcPr>
          <w:p>
            <w:pPr>
              <w:adjustRightInd w:val="0"/>
              <w:spacing w:line="580" w:lineRule="exact"/>
              <w:contextualSpacing/>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263.49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6" w:type="dxa"/>
          </w:tcPr>
          <w:p>
            <w:pPr>
              <w:adjustRightInd w:val="0"/>
              <w:spacing w:line="580" w:lineRule="exact"/>
              <w:contextualSpacing/>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1、房屋(平方米）</w:t>
            </w:r>
          </w:p>
        </w:tc>
        <w:tc>
          <w:tcPr>
            <w:tcW w:w="1145" w:type="dxa"/>
          </w:tcPr>
          <w:p>
            <w:pPr>
              <w:adjustRightInd w:val="0"/>
              <w:spacing w:line="580" w:lineRule="exact"/>
              <w:contextualSpacing/>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10</w:t>
            </w:r>
          </w:p>
        </w:tc>
        <w:tc>
          <w:tcPr>
            <w:tcW w:w="2841" w:type="dxa"/>
          </w:tcPr>
          <w:p>
            <w:pPr>
              <w:adjustRightInd w:val="0"/>
              <w:spacing w:line="580" w:lineRule="exact"/>
              <w:contextualSpacing/>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6" w:type="dxa"/>
          </w:tcPr>
          <w:p>
            <w:pPr>
              <w:adjustRightInd w:val="0"/>
              <w:spacing w:line="580" w:lineRule="exact"/>
              <w:contextualSpacing/>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其中：办公用房（平方米）</w:t>
            </w:r>
          </w:p>
        </w:tc>
        <w:tc>
          <w:tcPr>
            <w:tcW w:w="1145" w:type="dxa"/>
          </w:tcPr>
          <w:p>
            <w:pPr>
              <w:adjustRightInd w:val="0"/>
              <w:spacing w:line="580" w:lineRule="exact"/>
              <w:contextualSpacing/>
              <w:rPr>
                <w:rFonts w:hint="eastAsia" w:ascii="Times New Roman" w:hAnsi="Times New Roman" w:eastAsia="方正仿宋_GBK" w:cs="Times New Roman"/>
                <w:sz w:val="32"/>
                <w:szCs w:val="32"/>
                <w:vertAlign w:val="baseline"/>
                <w:lang w:val="en-US" w:eastAsia="zh-CN"/>
              </w:rPr>
            </w:pPr>
          </w:p>
        </w:tc>
        <w:tc>
          <w:tcPr>
            <w:tcW w:w="2841" w:type="dxa"/>
          </w:tcPr>
          <w:p>
            <w:pPr>
              <w:adjustRightInd w:val="0"/>
              <w:spacing w:line="580" w:lineRule="exact"/>
              <w:contextualSpacing/>
              <w:rPr>
                <w:rFonts w:hint="eastAsia" w:ascii="Times New Roman" w:hAnsi="Times New Roman" w:eastAsia="方正仿宋_GBK"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6" w:type="dxa"/>
          </w:tcPr>
          <w:p>
            <w:pPr>
              <w:adjustRightInd w:val="0"/>
              <w:spacing w:line="580" w:lineRule="exact"/>
              <w:contextualSpacing/>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2、车辆（台、辆）</w:t>
            </w:r>
          </w:p>
        </w:tc>
        <w:tc>
          <w:tcPr>
            <w:tcW w:w="1145" w:type="dxa"/>
          </w:tcPr>
          <w:p>
            <w:pPr>
              <w:adjustRightInd w:val="0"/>
              <w:spacing w:line="580" w:lineRule="exact"/>
              <w:contextualSpacing/>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7</w:t>
            </w:r>
          </w:p>
        </w:tc>
        <w:tc>
          <w:tcPr>
            <w:tcW w:w="2841" w:type="dxa"/>
          </w:tcPr>
          <w:p>
            <w:pPr>
              <w:adjustRightInd w:val="0"/>
              <w:spacing w:line="580" w:lineRule="exact"/>
              <w:contextualSpacing/>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6" w:type="dxa"/>
          </w:tcPr>
          <w:p>
            <w:pPr>
              <w:adjustRightInd w:val="0"/>
              <w:spacing w:line="580" w:lineRule="exact"/>
              <w:contextualSpacing/>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3、单价在20万元以上的设备</w:t>
            </w:r>
          </w:p>
        </w:tc>
        <w:tc>
          <w:tcPr>
            <w:tcW w:w="1145" w:type="dxa"/>
          </w:tcPr>
          <w:p>
            <w:pPr>
              <w:adjustRightInd w:val="0"/>
              <w:spacing w:line="580" w:lineRule="exact"/>
              <w:contextualSpacing/>
              <w:rPr>
                <w:rFonts w:hint="eastAsia" w:ascii="Times New Roman" w:hAnsi="Times New Roman" w:eastAsia="方正仿宋_GBK" w:cs="Times New Roman"/>
                <w:sz w:val="32"/>
                <w:szCs w:val="32"/>
                <w:vertAlign w:val="baseline"/>
                <w:lang w:val="en-US" w:eastAsia="zh-CN"/>
              </w:rPr>
            </w:pPr>
          </w:p>
        </w:tc>
        <w:tc>
          <w:tcPr>
            <w:tcW w:w="2841" w:type="dxa"/>
          </w:tcPr>
          <w:p>
            <w:pPr>
              <w:adjustRightInd w:val="0"/>
              <w:spacing w:line="580" w:lineRule="exact"/>
              <w:contextualSpacing/>
              <w:rPr>
                <w:rFonts w:hint="eastAsia" w:ascii="Times New Roman" w:hAnsi="Times New Roman" w:eastAsia="方正仿宋_GBK"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6" w:type="dxa"/>
          </w:tcPr>
          <w:p>
            <w:pPr>
              <w:adjustRightInd w:val="0"/>
              <w:spacing w:line="580" w:lineRule="exact"/>
              <w:contextualSpacing/>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4、其他固定资产</w:t>
            </w:r>
          </w:p>
        </w:tc>
        <w:tc>
          <w:tcPr>
            <w:tcW w:w="1145" w:type="dxa"/>
          </w:tcPr>
          <w:p>
            <w:pPr>
              <w:adjustRightInd w:val="0"/>
              <w:spacing w:line="580" w:lineRule="exact"/>
              <w:contextualSpacing/>
              <w:rPr>
                <w:rFonts w:hint="default" w:ascii="Times New Roman" w:hAnsi="Times New Roman" w:eastAsia="方正仿宋_GBK" w:cs="Times New Roman"/>
                <w:sz w:val="32"/>
                <w:szCs w:val="32"/>
                <w:vertAlign w:val="baseline"/>
                <w:lang w:val="en-US" w:eastAsia="zh-CN"/>
              </w:rPr>
            </w:pPr>
          </w:p>
        </w:tc>
        <w:tc>
          <w:tcPr>
            <w:tcW w:w="2841" w:type="dxa"/>
          </w:tcPr>
          <w:p>
            <w:pPr>
              <w:adjustRightInd w:val="0"/>
              <w:spacing w:line="580" w:lineRule="exact"/>
              <w:contextualSpacing/>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226.39</w:t>
            </w:r>
          </w:p>
        </w:tc>
      </w:tr>
    </w:tbl>
    <w:p>
      <w:pPr>
        <w:adjustRightInd w:val="0"/>
        <w:spacing w:line="580" w:lineRule="exact"/>
        <w:ind w:firstLine="640" w:firstLineChars="200"/>
        <w:contextualSpacing/>
        <w:rPr>
          <w:rFonts w:hint="eastAsia" w:ascii="Times New Roman" w:hAnsi="Times New Roman" w:eastAsia="方正仿宋_GBK" w:cs="Times New Roman"/>
          <w:sz w:val="32"/>
          <w:szCs w:val="32"/>
          <w:lang w:val="en-US" w:eastAsia="zh-CN"/>
        </w:rPr>
      </w:pPr>
    </w:p>
    <w:p>
      <w:pPr>
        <w:widowControl w:val="0"/>
        <w:numPr>
          <w:ilvl w:val="0"/>
          <w:numId w:val="0"/>
        </w:numPr>
        <w:spacing w:line="500" w:lineRule="exact"/>
        <w:jc w:val="left"/>
        <w:rPr>
          <w:rFonts w:eastAsia="方正仿宋_GBK"/>
          <w:sz w:val="32"/>
          <w:szCs w:val="32"/>
        </w:rPr>
      </w:pPr>
    </w:p>
    <w:p>
      <w:pPr>
        <w:numPr>
          <w:ilvl w:val="0"/>
          <w:numId w:val="1"/>
        </w:numPr>
        <w:spacing w:line="500" w:lineRule="exact"/>
        <w:ind w:left="630" w:leftChars="0" w:firstLine="0" w:firstLineChars="0"/>
        <w:jc w:val="left"/>
        <w:rPr>
          <w:rFonts w:eastAsia="方正仿宋_GBK"/>
          <w:sz w:val="32"/>
          <w:szCs w:val="32"/>
        </w:rPr>
      </w:pPr>
      <w:r>
        <w:rPr>
          <w:rFonts w:ascii="方正楷体_GBK" w:eastAsia="方正楷体_GBK"/>
          <w:b/>
          <w:sz w:val="32"/>
          <w:szCs w:val="32"/>
        </w:rPr>
        <w:t>名词解释</w:t>
      </w:r>
      <w:r>
        <w:rPr>
          <w:rFonts w:eastAsia="方正仿宋_GBK"/>
          <w:sz w:val="32"/>
          <w:szCs w:val="32"/>
        </w:rPr>
        <w:t>：</w:t>
      </w:r>
    </w:p>
    <w:p>
      <w:pPr>
        <w:adjustRightInd w:val="0"/>
        <w:spacing w:line="580" w:lineRule="exact"/>
        <w:ind w:firstLine="640" w:firstLineChars="200"/>
        <w:contextualSpacing/>
        <w:rPr>
          <w:rFonts w:hint="eastAsia" w:ascii="Times New Roman" w:hAnsi="Times New Roman" w:eastAsia="方正仿宋_GBK" w:cs="Times New Roman"/>
          <w:sz w:val="32"/>
          <w:szCs w:val="32"/>
          <w:lang w:val="en-US" w:eastAsia="zh-CN"/>
        </w:rPr>
      </w:pPr>
      <w:r>
        <w:rPr>
          <w:rFonts w:hint="eastAsia" w:ascii="方正楷体_GBK" w:eastAsia="方正楷体_GBK"/>
          <w:b/>
          <w:sz w:val="32"/>
          <w:szCs w:val="32"/>
          <w:lang w:val="en-US" w:eastAsia="zh-CN"/>
        </w:rPr>
        <w:t>1、一般公共预算拨款收入：</w:t>
      </w:r>
      <w:r>
        <w:rPr>
          <w:rFonts w:hint="eastAsia" w:ascii="Times New Roman" w:hAnsi="Times New Roman" w:eastAsia="方正仿宋_GBK" w:cs="Times New Roman"/>
          <w:sz w:val="32"/>
          <w:szCs w:val="32"/>
          <w:lang w:val="en-US" w:eastAsia="zh-CN"/>
        </w:rPr>
        <w:t>指县级财政当年拨付的资金。</w:t>
      </w:r>
    </w:p>
    <w:p>
      <w:pPr>
        <w:adjustRightInd w:val="0"/>
        <w:spacing w:line="580" w:lineRule="exact"/>
        <w:ind w:firstLine="640" w:firstLineChars="200"/>
        <w:contextualSpacing/>
        <w:rPr>
          <w:rFonts w:hint="eastAsia" w:ascii="Times New Roman" w:hAnsi="Times New Roman" w:eastAsia="方正仿宋_GBK" w:cs="Times New Roman"/>
          <w:sz w:val="32"/>
          <w:szCs w:val="32"/>
        </w:rPr>
      </w:pPr>
      <w:r>
        <w:rPr>
          <w:rFonts w:hint="eastAsia" w:ascii="方正楷体_GBK" w:eastAsia="方正楷体_GBK"/>
          <w:b/>
          <w:sz w:val="32"/>
          <w:szCs w:val="32"/>
          <w:lang w:val="en-US" w:eastAsia="zh-CN"/>
        </w:rPr>
        <w:t>2、其他收入：</w:t>
      </w:r>
      <w:r>
        <w:rPr>
          <w:rFonts w:hint="eastAsia" w:ascii="Times New Roman" w:hAnsi="Times New Roman" w:eastAsia="方正仿宋_GBK" w:cs="Times New Roman"/>
          <w:sz w:val="32"/>
          <w:szCs w:val="32"/>
        </w:rPr>
        <w:t>指除</w:t>
      </w:r>
      <w:r>
        <w:rPr>
          <w:rFonts w:hint="cs" w:ascii="Times New Roman" w:hAnsi="Times New Roman" w:eastAsia="方正仿宋_GBK" w:cs="Times New Roman"/>
          <w:sz w:val="32"/>
          <w:szCs w:val="32"/>
          <w:cs/>
        </w:rPr>
        <w:t>“</w:t>
      </w:r>
      <w:r>
        <w:rPr>
          <w:rFonts w:hint="eastAsia" w:ascii="Times New Roman" w:hAnsi="Times New Roman" w:eastAsia="方正仿宋_GBK" w:cs="Times New Roman"/>
          <w:sz w:val="32"/>
          <w:szCs w:val="32"/>
        </w:rPr>
        <w:t>一般公共预算拨款收入</w:t>
      </w:r>
      <w:r>
        <w:rPr>
          <w:rFonts w:hint="cs" w:ascii="Times New Roman" w:hAnsi="Times New Roman" w:eastAsia="方正仿宋_GBK" w:cs="Times New Roman"/>
          <w:sz w:val="32"/>
          <w:szCs w:val="32"/>
          <w:cs/>
        </w:rPr>
        <w:t>”</w:t>
      </w:r>
      <w:r>
        <w:rPr>
          <w:rFonts w:hint="eastAsia" w:ascii="Times New Roman" w:hAnsi="Times New Roman" w:eastAsia="方正仿宋_GBK" w:cs="Times New Roman"/>
          <w:sz w:val="32"/>
          <w:szCs w:val="32"/>
        </w:rPr>
        <w:t>、</w:t>
      </w:r>
      <w:r>
        <w:rPr>
          <w:rFonts w:hint="cs" w:ascii="Times New Roman" w:hAnsi="Times New Roman" w:eastAsia="方正仿宋_GBK" w:cs="Times New Roman"/>
          <w:sz w:val="32"/>
          <w:szCs w:val="32"/>
          <w:cs/>
        </w:rPr>
        <w:t>“</w:t>
      </w:r>
      <w:r>
        <w:rPr>
          <w:rFonts w:hint="eastAsia" w:ascii="Times New Roman" w:hAnsi="Times New Roman" w:eastAsia="方正仿宋_GBK" w:cs="Times New Roman"/>
          <w:sz w:val="32"/>
          <w:szCs w:val="32"/>
        </w:rPr>
        <w:t>事业收入</w:t>
      </w:r>
      <w:r>
        <w:rPr>
          <w:rFonts w:hint="cs" w:ascii="Times New Roman" w:hAnsi="Times New Roman" w:eastAsia="方正仿宋_GBK" w:cs="Times New Roman"/>
          <w:sz w:val="32"/>
          <w:szCs w:val="32"/>
          <w:cs/>
        </w:rPr>
        <w:t>”</w:t>
      </w:r>
      <w:r>
        <w:rPr>
          <w:rFonts w:hint="eastAsia" w:ascii="Times New Roman" w:hAnsi="Times New Roman" w:eastAsia="方正仿宋_GBK" w:cs="Times New Roman"/>
          <w:sz w:val="32"/>
          <w:szCs w:val="32"/>
        </w:rPr>
        <w:t>等以外的收入。主要是按规定动用的租房收入、存款利息收入等。</w:t>
      </w:r>
    </w:p>
    <w:p>
      <w:pPr>
        <w:adjustRightInd w:val="0"/>
        <w:spacing w:line="580" w:lineRule="exact"/>
        <w:ind w:firstLine="640" w:firstLineChars="200"/>
        <w:contextualSpacing/>
        <w:rPr>
          <w:rFonts w:hint="eastAsia" w:ascii="Times New Roman" w:hAnsi="Times New Roman" w:eastAsia="方正仿宋_GBK" w:cs="Times New Roman"/>
          <w:sz w:val="32"/>
          <w:szCs w:val="32"/>
        </w:rPr>
      </w:pPr>
      <w:r>
        <w:rPr>
          <w:rFonts w:hint="eastAsia" w:ascii="方正楷体_GBK" w:eastAsia="方正楷体_GBK"/>
          <w:b/>
          <w:sz w:val="32"/>
          <w:szCs w:val="32"/>
          <w:lang w:val="en-US" w:eastAsia="zh-CN"/>
        </w:rPr>
        <w:t>3、基本支出：</w:t>
      </w:r>
      <w:r>
        <w:rPr>
          <w:rFonts w:hint="eastAsia" w:ascii="Times New Roman" w:hAnsi="Times New Roman" w:eastAsia="方正仿宋_GBK" w:cs="Times New Roman"/>
          <w:sz w:val="32"/>
          <w:szCs w:val="32"/>
        </w:rPr>
        <w:t>指为保障机构正常运转、完成日常工作任务而发生的人员支出和公用支出。</w:t>
      </w:r>
    </w:p>
    <w:p>
      <w:pPr>
        <w:adjustRightInd w:val="0"/>
        <w:spacing w:line="580" w:lineRule="exact"/>
        <w:ind w:firstLine="640" w:firstLineChars="200"/>
        <w:contextualSpacing/>
        <w:rPr>
          <w:rFonts w:hint="eastAsia" w:ascii="Times New Roman" w:hAnsi="Times New Roman" w:eastAsia="方正仿宋_GBK" w:cs="Times New Roman"/>
          <w:sz w:val="32"/>
          <w:szCs w:val="32"/>
        </w:rPr>
      </w:pPr>
      <w:r>
        <w:rPr>
          <w:rFonts w:hint="eastAsia" w:ascii="方正楷体_GBK" w:eastAsia="方正楷体_GBK"/>
          <w:b/>
          <w:sz w:val="32"/>
          <w:szCs w:val="32"/>
          <w:lang w:val="en-US" w:eastAsia="zh-CN"/>
        </w:rPr>
        <w:t>4、项目支出：</w:t>
      </w:r>
      <w:r>
        <w:rPr>
          <w:rFonts w:hint="eastAsia" w:ascii="Times New Roman" w:hAnsi="Times New Roman" w:eastAsia="方正仿宋_GBK" w:cs="Times New Roman"/>
          <w:sz w:val="32"/>
          <w:szCs w:val="32"/>
        </w:rPr>
        <w:t>指在基本支出之外为完成特定行政任务和事业发展目标所发生的支出。</w:t>
      </w:r>
    </w:p>
    <w:p>
      <w:pPr>
        <w:adjustRightInd w:val="0"/>
        <w:spacing w:line="580" w:lineRule="exact"/>
        <w:ind w:firstLine="640" w:firstLineChars="200"/>
        <w:contextualSpacing/>
        <w:rPr>
          <w:rFonts w:hint="eastAsia" w:ascii="Times New Roman" w:hAnsi="Times New Roman" w:eastAsia="方正仿宋_GBK" w:cs="Times New Roman"/>
          <w:sz w:val="32"/>
          <w:szCs w:val="32"/>
        </w:rPr>
      </w:pPr>
      <w:r>
        <w:rPr>
          <w:rFonts w:hint="eastAsia" w:ascii="方正楷体_GBK" w:eastAsia="方正楷体_GBK"/>
          <w:b/>
          <w:sz w:val="32"/>
          <w:szCs w:val="32"/>
          <w:lang w:val="en-US" w:eastAsia="zh-CN"/>
        </w:rPr>
        <w:t>5、上缴上级支出：</w:t>
      </w:r>
      <w:r>
        <w:rPr>
          <w:rFonts w:hint="eastAsia" w:ascii="Times New Roman" w:hAnsi="Times New Roman" w:eastAsia="方正仿宋_GBK" w:cs="Times New Roman"/>
          <w:sz w:val="32"/>
          <w:szCs w:val="32"/>
        </w:rPr>
        <w:t>指下级单位上缴上级的支出。</w:t>
      </w:r>
    </w:p>
    <w:p>
      <w:pPr>
        <w:adjustRightInd w:val="0"/>
        <w:spacing w:line="580" w:lineRule="exact"/>
        <w:ind w:firstLine="640" w:firstLineChars="200"/>
        <w:contextualSpacing/>
        <w:rPr>
          <w:rFonts w:hint="eastAsia" w:ascii="Times New Roman" w:hAnsi="Times New Roman" w:eastAsia="方正仿宋_GBK" w:cs="Times New Roman"/>
          <w:sz w:val="32"/>
          <w:szCs w:val="32"/>
        </w:rPr>
      </w:pPr>
      <w:r>
        <w:rPr>
          <w:rFonts w:hint="eastAsia" w:ascii="方正楷体_GBK" w:eastAsia="方正楷体_GBK"/>
          <w:b/>
          <w:sz w:val="32"/>
          <w:szCs w:val="32"/>
          <w:lang w:val="en-US" w:eastAsia="zh-CN"/>
        </w:rPr>
        <w:t>6、</w:t>
      </w:r>
      <w:r>
        <w:rPr>
          <w:rFonts w:hint="cs" w:ascii="方正楷体_GBK" w:eastAsia="方正楷体_GBK"/>
          <w:b/>
          <w:sz w:val="32"/>
          <w:szCs w:val="32"/>
          <w:cs/>
          <w:lang w:val="en-US" w:eastAsia="zh-CN"/>
        </w:rPr>
        <w:t>“</w:t>
      </w:r>
      <w:r>
        <w:rPr>
          <w:rFonts w:hint="eastAsia" w:ascii="方正楷体_GBK" w:eastAsia="方正楷体_GBK"/>
          <w:b/>
          <w:sz w:val="32"/>
          <w:szCs w:val="32"/>
          <w:lang w:val="en-US" w:eastAsia="zh-CN"/>
        </w:rPr>
        <w:t>三公</w:t>
      </w:r>
      <w:r>
        <w:rPr>
          <w:rFonts w:hint="cs" w:ascii="方正楷体_GBK" w:eastAsia="方正楷体_GBK"/>
          <w:b/>
          <w:sz w:val="32"/>
          <w:szCs w:val="32"/>
          <w:cs/>
          <w:lang w:val="en-US" w:eastAsia="zh-CN"/>
        </w:rPr>
        <w:t>”</w:t>
      </w:r>
      <w:r>
        <w:rPr>
          <w:rFonts w:hint="eastAsia" w:ascii="方正楷体_GBK" w:eastAsia="方正楷体_GBK"/>
          <w:b/>
          <w:sz w:val="32"/>
          <w:szCs w:val="32"/>
          <w:lang w:val="en-US" w:eastAsia="zh-CN"/>
        </w:rPr>
        <w:t>经费：</w:t>
      </w:r>
      <w:r>
        <w:rPr>
          <w:rFonts w:hint="eastAsia" w:ascii="Times New Roman" w:hAnsi="Times New Roman" w:eastAsia="方正仿宋_GBK" w:cs="Times New Roman"/>
          <w:sz w:val="32"/>
          <w:szCs w:val="32"/>
        </w:rPr>
        <w:t>纳入县级财政预算管理的</w:t>
      </w:r>
      <w:r>
        <w:rPr>
          <w:rFonts w:hint="cs" w:ascii="Times New Roman" w:hAnsi="Times New Roman" w:eastAsia="方正仿宋_GBK" w:cs="Times New Roman"/>
          <w:sz w:val="32"/>
          <w:szCs w:val="32"/>
          <w:cs/>
        </w:rPr>
        <w:t>“</w:t>
      </w:r>
      <w:r>
        <w:rPr>
          <w:rFonts w:hint="eastAsia" w:ascii="Times New Roman" w:hAnsi="Times New Roman" w:eastAsia="方正仿宋_GBK" w:cs="Times New Roman"/>
          <w:sz w:val="32"/>
          <w:szCs w:val="32"/>
        </w:rPr>
        <w:t>三公</w:t>
      </w:r>
      <w:r>
        <w:rPr>
          <w:rFonts w:hint="cs" w:ascii="Times New Roman" w:hAnsi="Times New Roman" w:eastAsia="方正仿宋_GBK" w:cs="Times New Roman"/>
          <w:sz w:val="32"/>
          <w:szCs w:val="32"/>
          <w:cs/>
        </w:rPr>
        <w:t>”</w:t>
      </w:r>
      <w:r>
        <w:rPr>
          <w:rFonts w:hint="eastAsia" w:ascii="Times New Roman" w:hAnsi="Times New Roman" w:eastAsia="方正仿宋_GBK" w:cs="Times New Roman"/>
          <w:sz w:val="32"/>
          <w:szCs w:val="32"/>
        </w:rPr>
        <w:t>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adjustRightInd w:val="0"/>
        <w:spacing w:line="580" w:lineRule="exact"/>
        <w:ind w:firstLine="640" w:firstLineChars="200"/>
        <w:contextualSpacing/>
        <w:rPr>
          <w:rFonts w:hint="eastAsia" w:ascii="Times New Roman" w:hAnsi="Times New Roman" w:eastAsia="方正仿宋_GBK" w:cs="Times New Roman"/>
          <w:sz w:val="32"/>
          <w:szCs w:val="32"/>
        </w:rPr>
      </w:pPr>
      <w:r>
        <w:rPr>
          <w:rFonts w:hint="eastAsia" w:ascii="方正楷体_GBK" w:eastAsia="方正楷体_GBK"/>
          <w:b/>
          <w:sz w:val="32"/>
          <w:szCs w:val="32"/>
          <w:lang w:val="en-US" w:eastAsia="zh-CN"/>
        </w:rPr>
        <w:t>7、机关运行费</w:t>
      </w:r>
      <w:r>
        <w:rPr>
          <w:rFonts w:hint="eastAsia" w:ascii="方正粗黑宋简体" w:hAnsi="方正粗黑宋简体" w:eastAsia="方正粗黑宋简体" w:cs="方正粗黑宋简体"/>
          <w:sz w:val="32"/>
          <w:szCs w:val="32"/>
        </w:rPr>
        <w:t>：</w:t>
      </w:r>
      <w:r>
        <w:rPr>
          <w:rFonts w:hint="eastAsia" w:ascii="Times New Roman" w:hAnsi="Times New Roman" w:eastAsia="方正仿宋_GBK" w:cs="Times New Roman"/>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numPr>
          <w:ilvl w:val="0"/>
          <w:numId w:val="0"/>
        </w:numPr>
        <w:spacing w:line="500" w:lineRule="exact"/>
        <w:ind w:leftChars="0"/>
        <w:jc w:val="left"/>
        <w:rPr>
          <w:rFonts w:hint="eastAsia" w:ascii="方正楷体_GBK" w:eastAsia="方正楷体_GBK"/>
          <w:b/>
          <w:sz w:val="32"/>
          <w:szCs w:val="32"/>
          <w:lang w:eastAsia="zh-CN"/>
        </w:rPr>
      </w:pPr>
      <w:r>
        <w:rPr>
          <w:rFonts w:ascii="方正楷体_GBK" w:eastAsia="方正楷体_GBK"/>
          <w:b/>
          <w:sz w:val="32"/>
          <w:szCs w:val="32"/>
        </w:rPr>
        <w:t>（九）其他需说明的事项</w:t>
      </w:r>
      <w:r>
        <w:rPr>
          <w:rFonts w:hint="eastAsia" w:ascii="方正楷体_GBK" w:eastAsia="方正楷体_GBK"/>
          <w:b/>
          <w:sz w:val="32"/>
          <w:szCs w:val="32"/>
          <w:lang w:eastAsia="zh-CN"/>
        </w:rPr>
        <w:t>。</w:t>
      </w:r>
    </w:p>
    <w:p>
      <w:pPr>
        <w:spacing w:line="500" w:lineRule="exact"/>
        <w:ind w:firstLine="560" w:firstLineChars="200"/>
        <w:jc w:val="left"/>
        <w:rPr>
          <w:rFonts w:hint="eastAsia" w:hAnsi="宋体"/>
          <w:sz w:val="28"/>
        </w:rPr>
      </w:pPr>
      <w:r>
        <w:rPr>
          <w:rFonts w:hint="eastAsia" w:eastAsia="方正仿宋_GBK"/>
          <w:sz w:val="28"/>
        </w:rPr>
        <w:t>我单位无其他需要说明的事项。</w:t>
      </w:r>
    </w:p>
    <w:p>
      <w:pPr>
        <w:numPr>
          <w:ilvl w:val="0"/>
          <w:numId w:val="0"/>
        </w:numPr>
        <w:spacing w:line="500" w:lineRule="exact"/>
        <w:ind w:leftChars="0"/>
        <w:jc w:val="left"/>
        <w:rPr>
          <w:rFonts w:hint="eastAsia" w:ascii="方正楷体_GBK" w:eastAsia="方正楷体_GBK"/>
          <w:b/>
          <w:sz w:val="32"/>
          <w:szCs w:val="32"/>
          <w:lang w:val="en-US" w:eastAsia="zh-CN"/>
        </w:rPr>
      </w:pPr>
    </w:p>
    <w:p>
      <w:pPr>
        <w:numPr>
          <w:ilvl w:val="0"/>
          <w:numId w:val="0"/>
        </w:numPr>
        <w:jc w:val="both"/>
        <w:rPr>
          <w:rFonts w:hint="eastAsia" w:eastAsia="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B5B43"/>
    <w:multiLevelType w:val="singleLevel"/>
    <w:tmpl w:val="4C2B5B43"/>
    <w:lvl w:ilvl="0" w:tentative="0">
      <w:start w:val="2"/>
      <w:numFmt w:val="chineseCounting"/>
      <w:suff w:val="nothing"/>
      <w:lvlText w:val="（%1）"/>
      <w:lvlJc w:val="left"/>
      <w:pPr>
        <w:ind w:left="6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C55F43"/>
    <w:rsid w:val="09023B35"/>
    <w:rsid w:val="0A53516F"/>
    <w:rsid w:val="0A832B16"/>
    <w:rsid w:val="0CD9508F"/>
    <w:rsid w:val="0F442CF9"/>
    <w:rsid w:val="1AEA6C87"/>
    <w:rsid w:val="1DCB3932"/>
    <w:rsid w:val="2E2034E6"/>
    <w:rsid w:val="32DC5226"/>
    <w:rsid w:val="3AB12F61"/>
    <w:rsid w:val="443D0BEA"/>
    <w:rsid w:val="50CC47E5"/>
    <w:rsid w:val="56B61E74"/>
    <w:rsid w:val="59E2027B"/>
    <w:rsid w:val="632C38B7"/>
    <w:rsid w:val="65285E0A"/>
    <w:rsid w:val="6AB72370"/>
    <w:rsid w:val="6CD14D81"/>
    <w:rsid w:val="70301C0A"/>
    <w:rsid w:val="7AD34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2021-06-22T07:13:00Z</dcterms:created>
  <dc:creator>Administrator</dc:creator>
  <cp:lastModifiedBy>6665</cp:lastModifiedBy>
  <dcterms:modified xsi:type="dcterms:W3CDTF">2025-02-19T02:13:06Z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81F163D4B98B4AC3B2912C848D0218DB</vt:lpwstr>
  </property>
</Properties>
</file>