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曲阳县统计局</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Times New Roman"/>
          <w:color w:val="auto"/>
          <w:sz w:val="32"/>
          <w:szCs w:val="32"/>
        </w:rPr>
        <w:t>、</w:t>
      </w:r>
      <w:r>
        <w:rPr>
          <w:rFonts w:ascii="仿宋" w:hAnsi="仿宋" w:eastAsia="仿宋" w:cs="Times New Roman"/>
          <w:color w:val="auto"/>
          <w:sz w:val="32"/>
          <w:szCs w:val="32"/>
        </w:rPr>
        <w:t>《地方预决算公开操作规程》和</w:t>
      </w:r>
      <w:r>
        <w:rPr>
          <w:rFonts w:hint="eastAsia" w:ascii="仿宋" w:hAnsi="仿宋" w:eastAsia="仿宋" w:cs="仿宋"/>
          <w:color w:val="auto"/>
          <w:sz w:val="32"/>
          <w:szCs w:val="32"/>
        </w:rPr>
        <w:t>《河北省财政厅修订补充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将曲阳县统计局</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spacing w:line="520" w:lineRule="exact"/>
        <w:ind w:firstLine="643" w:firstLineChars="200"/>
        <w:jc w:val="left"/>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（一）、依照国家的法律、法规、政策和计划，</w:t>
      </w:r>
      <w:r>
        <w:rPr>
          <w:rFonts w:hint="eastAsia" w:ascii="仿宋" w:hAnsi="仿宋" w:eastAsia="仿宋" w:cs="仿宋_GB2312"/>
          <w:color w:val="auto"/>
          <w:sz w:val="32"/>
          <w:szCs w:val="32"/>
          <w:lang w:eastAsia="zh-CN"/>
        </w:rPr>
        <w:t>制定</w:t>
      </w:r>
      <w:r>
        <w:rPr>
          <w:rFonts w:hint="eastAsia" w:ascii="仿宋" w:hAnsi="仿宋" w:eastAsia="仿宋" w:cs="仿宋_GB2312"/>
          <w:color w:val="auto"/>
          <w:sz w:val="32"/>
          <w:szCs w:val="32"/>
        </w:rPr>
        <w:t>全县统计调查计划，拟出年度工作要点，工作要点</w:t>
      </w:r>
      <w:r>
        <w:rPr>
          <w:rFonts w:hint="eastAsia" w:ascii="仿宋" w:hAnsi="仿宋" w:eastAsia="仿宋" w:cs="仿宋_GB2312"/>
          <w:color w:val="auto"/>
          <w:sz w:val="32"/>
          <w:szCs w:val="32"/>
          <w:lang w:eastAsia="zh-CN"/>
        </w:rPr>
        <w:t>制定</w:t>
      </w:r>
      <w:r>
        <w:rPr>
          <w:rFonts w:hint="eastAsia" w:ascii="仿宋" w:hAnsi="仿宋" w:eastAsia="仿宋" w:cs="仿宋_GB2312"/>
          <w:color w:val="auto"/>
          <w:sz w:val="32"/>
          <w:szCs w:val="32"/>
        </w:rPr>
        <w:t>得当，符合上级统计部门的总体要求，切合本县实际。</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（二）、组织领导和综合协调全县各乡镇、部门的统计和国民经济核算工作，建立各专业的统计协调机制，完善国民经济核算体系，及时向市统计局报送季报和年报</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（三）、运用统计调查，准确、及时、系统、全面地反映县情县力、反映社会经济发展的基本情况，为县委、县政府</w:t>
      </w:r>
      <w:r>
        <w:rPr>
          <w:rFonts w:hint="eastAsia" w:ascii="仿宋" w:hAnsi="仿宋" w:eastAsia="仿宋" w:cs="仿宋_GB2312"/>
          <w:color w:val="auto"/>
          <w:sz w:val="32"/>
          <w:szCs w:val="32"/>
          <w:lang w:eastAsia="zh-CN"/>
        </w:rPr>
        <w:t>制定</w:t>
      </w:r>
      <w:r>
        <w:rPr>
          <w:rFonts w:hint="eastAsia" w:ascii="仿宋" w:hAnsi="仿宋" w:eastAsia="仿宋" w:cs="仿宋_GB2312"/>
          <w:color w:val="auto"/>
          <w:sz w:val="32"/>
          <w:szCs w:val="32"/>
        </w:rPr>
        <w:t>政策、计划、指导经济和社会发展提供依据。根据县委、县政府的要求和工作需要及时准确提供有关统计数据。</w:t>
      </w:r>
      <w:r>
        <w:rPr>
          <w:rFonts w:ascii="仿宋" w:hAnsi="仿宋" w:eastAsia="仿宋" w:cs="仿宋_GB2312"/>
          <w:color w:val="auto"/>
          <w:sz w:val="32"/>
          <w:szCs w:val="32"/>
        </w:rPr>
        <w:t xml:space="preserve">           </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监督检查统计法规的实施，</w:t>
      </w:r>
      <w:r>
        <w:rPr>
          <w:rFonts w:hint="eastAsia" w:ascii="仿宋" w:hAnsi="仿宋" w:eastAsia="仿宋" w:cs="仿宋_GB2312"/>
          <w:color w:val="auto"/>
          <w:sz w:val="32"/>
          <w:szCs w:val="32"/>
          <w:lang w:eastAsia="zh-CN"/>
        </w:rPr>
        <w:t>制定</w:t>
      </w:r>
      <w:r>
        <w:rPr>
          <w:rFonts w:hint="eastAsia" w:ascii="仿宋" w:hAnsi="仿宋" w:eastAsia="仿宋" w:cs="仿宋_GB2312"/>
          <w:color w:val="auto"/>
          <w:sz w:val="32"/>
          <w:szCs w:val="32"/>
        </w:rPr>
        <w:t>统计法宣传和执法计划。</w:t>
      </w:r>
    </w:p>
    <w:p>
      <w:pPr>
        <w:spacing w:line="520" w:lineRule="exact"/>
        <w:ind w:firstLine="640" w:firstLineChars="200"/>
        <w:jc w:val="left"/>
        <w:rPr>
          <w:rFonts w:ascii="仿宋" w:hAnsi="仿宋" w:eastAsia="仿宋" w:cs="仿宋_GB2312"/>
          <w:color w:val="auto"/>
          <w:sz w:val="32"/>
          <w:szCs w:val="32"/>
        </w:rPr>
      </w:pPr>
      <w:r>
        <w:rPr>
          <w:rFonts w:ascii="仿宋" w:hAnsi="仿宋" w:eastAsia="仿宋" w:cs="仿宋_GB2312"/>
          <w:color w:val="auto"/>
          <w:sz w:val="32"/>
          <w:szCs w:val="32"/>
        </w:rPr>
        <w:t> </w:t>
      </w:r>
      <w:r>
        <w:rPr>
          <w:rFonts w:hint="eastAsia" w:ascii="仿宋" w:hAnsi="仿宋" w:eastAsia="仿宋" w:cs="仿宋_GB2312"/>
          <w:color w:val="auto"/>
          <w:sz w:val="32"/>
          <w:szCs w:val="32"/>
        </w:rPr>
        <w:t>开展一至二次统计法宣传和执法活动。</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（五）、完成全国第四次经济普查各项准备工作。</w:t>
      </w:r>
    </w:p>
    <w:p>
      <w:pPr>
        <w:spacing w:line="520" w:lineRule="exact"/>
        <w:ind w:firstLine="640" w:firstLineChars="200"/>
        <w:jc w:val="left"/>
        <w:rPr>
          <w:rFonts w:ascii="仿宋" w:hAnsi="仿宋" w:eastAsia="仿宋" w:cs="仿宋_GB2312"/>
          <w:color w:val="auto"/>
          <w:sz w:val="32"/>
          <w:szCs w:val="32"/>
        </w:rPr>
      </w:pPr>
      <w:r>
        <w:rPr>
          <w:rFonts w:ascii="仿宋" w:hAnsi="仿宋" w:eastAsia="仿宋" w:cs="仿宋_GB2312"/>
          <w:color w:val="auto"/>
          <w:sz w:val="32"/>
          <w:szCs w:val="32"/>
        </w:rPr>
        <w:t> </w:t>
      </w:r>
      <w:r>
        <w:rPr>
          <w:rFonts w:hint="eastAsia" w:ascii="仿宋" w:hAnsi="仿宋" w:eastAsia="仿宋" w:cs="仿宋_GB2312"/>
          <w:color w:val="auto"/>
          <w:sz w:val="32"/>
          <w:szCs w:val="32"/>
        </w:rPr>
        <w:t>组建领导机构，编制调查经费预算、落实办公地点，</w:t>
      </w:r>
      <w:r>
        <w:rPr>
          <w:rFonts w:hint="eastAsia" w:ascii="仿宋" w:hAnsi="仿宋" w:eastAsia="仿宋" w:cs="仿宋_GB2312"/>
          <w:color w:val="auto"/>
          <w:sz w:val="32"/>
          <w:szCs w:val="32"/>
          <w:lang w:eastAsia="zh-CN"/>
        </w:rPr>
        <w:t>制定</w:t>
      </w:r>
      <w:r>
        <w:rPr>
          <w:rFonts w:hint="eastAsia" w:ascii="仿宋" w:hAnsi="仿宋" w:eastAsia="仿宋" w:cs="仿宋_GB2312"/>
          <w:color w:val="auto"/>
          <w:sz w:val="32"/>
          <w:szCs w:val="32"/>
        </w:rPr>
        <w:t>调查方案，印制调查表册、开展调查培训、搞好调查准备工作。</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（六）、完成上级统计部门临时安排的各项调查统计工作，安排得当，调查统计数据。</w:t>
      </w:r>
    </w:p>
    <w:p>
      <w:pPr>
        <w:spacing w:line="52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（七）、认真开展统计数据服务。根据各乡镇、各单位的需要，提供有关统计数据。</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（八）完成县委县政府交办的各项任务，及时落实，安排得当。</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tbl>
      <w:tblPr>
        <w:tblStyle w:val="7"/>
        <w:tblW w:w="11639" w:type="dxa"/>
        <w:jc w:val="center"/>
        <w:tblInd w:w="0" w:type="dxa"/>
        <w:tblLayout w:type="fixed"/>
        <w:tblCellMar>
          <w:top w:w="0" w:type="dxa"/>
          <w:left w:w="108" w:type="dxa"/>
          <w:bottom w:w="0" w:type="dxa"/>
          <w:right w:w="108" w:type="dxa"/>
        </w:tblCellMar>
      </w:tblPr>
      <w:tblGrid>
        <w:gridCol w:w="1080"/>
        <w:gridCol w:w="2904"/>
        <w:gridCol w:w="3544"/>
        <w:gridCol w:w="992"/>
        <w:gridCol w:w="3119"/>
      </w:tblGrid>
      <w:tr>
        <w:tblPrEx>
          <w:tblLayout w:type="fixed"/>
          <w:tblCellMar>
            <w:top w:w="0" w:type="dxa"/>
            <w:left w:w="108" w:type="dxa"/>
            <w:bottom w:w="0" w:type="dxa"/>
            <w:right w:w="108" w:type="dxa"/>
          </w:tblCellMar>
        </w:tblPrEx>
        <w:trPr>
          <w:trHeight w:val="810" w:hRule="atLeast"/>
          <w:jc w:val="center"/>
        </w:trPr>
        <w:tc>
          <w:tcPr>
            <w:tcW w:w="11639" w:type="dxa"/>
            <w:gridSpan w:val="5"/>
            <w:tcBorders>
              <w:top w:val="nil"/>
              <w:left w:val="nil"/>
              <w:bottom w:val="single" w:color="auto" w:sz="4" w:space="0"/>
              <w:right w:val="nil"/>
            </w:tcBorders>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单位名称</w:t>
            </w:r>
          </w:p>
        </w:tc>
        <w:tc>
          <w:tcPr>
            <w:tcW w:w="35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单位性质</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单位规格</w:t>
            </w:r>
          </w:p>
        </w:tc>
        <w:tc>
          <w:tcPr>
            <w:tcW w:w="31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31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35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31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曲阳县统计局</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行政</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正科级</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曲阳县统计局普查中心</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参照公务员管理的事业单位</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副科级</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曲阳县城市经济调查队</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参照公务员管理的事业单位</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副科级</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90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曲阳县农村经济调查队</w:t>
            </w:r>
          </w:p>
        </w:tc>
        <w:tc>
          <w:tcPr>
            <w:tcW w:w="35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参照公务员管理的事业单位</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股级</w:t>
            </w:r>
          </w:p>
        </w:tc>
        <w:tc>
          <w:tcPr>
            <w:tcW w:w="311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bl>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rPr>
        <w:t>曲阳县统计局</w:t>
      </w:r>
      <w:r>
        <w:rPr>
          <w:rFonts w:ascii="Times New Roman" w:hAnsi="Times New Roman" w:eastAsia="仿宋" w:cs="Times New Roman"/>
          <w:color w:val="auto"/>
          <w:sz w:val="32"/>
          <w:szCs w:val="32"/>
        </w:rPr>
        <w:t>及所属事业单位的收支包含在部门预算中。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反应本部门当年全部收入。2019年预算收入315.83万元，</w:t>
      </w:r>
      <w:r>
        <w:rPr>
          <w:rFonts w:hint="eastAsia" w:ascii="Times New Roman" w:hAnsi="Times New Roman" w:eastAsia="仿宋" w:cs="仿宋"/>
          <w:color w:val="auto"/>
          <w:sz w:val="32"/>
          <w:szCs w:val="32"/>
        </w:rPr>
        <w:t>其中：一般公共预算收入</w:t>
      </w:r>
      <w:r>
        <w:rPr>
          <w:rFonts w:hint="eastAsia" w:ascii="Times New Roman" w:hAnsi="Times New Roman" w:eastAsia="仿宋" w:cs="Times New Roman"/>
          <w:color w:val="auto"/>
          <w:sz w:val="32"/>
          <w:szCs w:val="32"/>
          <w:lang w:val="en-US" w:eastAsia="zh-CN"/>
        </w:rPr>
        <w:t>315.83</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统计局年度部门预算中支出预算的总体情况。2019年部门支出预算为315.83万元，其中基本支出209.88万元，包括人员经费185.16万元和日常公用经费24.72万元；项目支出105.95万元，主要为四经普补助资金4.5万元，四经普业务经费45.74万元，乡镇社区统计中业务经费1.74万元，统计局劳务派遣人员经费11.64万元，统计抽样调查业务经费42.33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2019年，部门预算收支安排315.83万元，较2018年增长73.17万元，其中：基本支出增长10.69万元，主要是增加人员经费；项目支出增长62.48万元，主要是由于增加了第四次全国经济普查项目经费。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2019年，我部门机关运行经费共计安排24.72元，主要用于保证机关正常运转的办公费、邮电费、差旅费、会议费、福利费、办公用房取暖费、公务车运行维护费等支出。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2019年，曲阳县统计局财政拨款“三公”经费预算安排</w:t>
      </w:r>
      <w:r>
        <w:rPr>
          <w:rFonts w:hint="eastAsia" w:ascii="Times New Roman" w:hAnsi="Times New Roman" w:eastAsia="仿宋" w:cs="Times New Roman"/>
          <w:color w:val="auto"/>
          <w:sz w:val="32"/>
          <w:szCs w:val="32"/>
          <w:lang w:val="en-US" w:eastAsia="zh-CN"/>
        </w:rPr>
        <w:t>1.6</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万元；公务用车购置及运维费1.2万元（其中：公务用车运行维护费1.2万元，公务用车购置费0万元)；公务接待费0.4万元。“三公”经费接待费较上年减少0.2万元。</w:t>
      </w:r>
      <w:r>
        <w:rPr>
          <w:rFonts w:hint="eastAsia" w:ascii="Times New Roman" w:hAnsi="Times New Roman" w:eastAsia="仿宋" w:cs="Times New Roman"/>
          <w:color w:val="auto"/>
          <w:sz w:val="32"/>
          <w:szCs w:val="32"/>
          <w:lang w:eastAsia="zh-CN"/>
        </w:rPr>
        <w:t>减少原因为接待任务减少，公共接待费用减少。</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r>
        <w:rPr>
          <w:rFonts w:hint="eastAsia" w:ascii="Times New Roman" w:hAnsi="Times New Roman" w:eastAsia="仿宋" w:cs="Times New Roman"/>
          <w:b/>
          <w:color w:val="auto"/>
          <w:sz w:val="32"/>
          <w:szCs w:val="32"/>
        </w:rPr>
        <w:t xml:space="preserve"> </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按照县委、县政府总体工作部署，结合统计部门职能，2019年，统计工作的总体思路是：认真落实</w:t>
      </w:r>
      <w:r>
        <w:rPr>
          <w:rFonts w:hint="eastAsia" w:ascii="仿宋" w:hAnsi="仿宋" w:eastAsia="仿宋"/>
          <w:color w:val="auto"/>
          <w:sz w:val="32"/>
          <w:szCs w:val="32"/>
          <w:lang w:eastAsia="zh-CN"/>
        </w:rPr>
        <w:t>党的</w:t>
      </w:r>
      <w:bookmarkStart w:id="4" w:name="_GoBack"/>
      <w:r>
        <w:rPr>
          <w:rFonts w:hint="eastAsia" w:ascii="仿宋" w:hAnsi="仿宋" w:eastAsia="仿宋"/>
          <w:color w:val="auto"/>
          <w:sz w:val="32"/>
          <w:szCs w:val="32"/>
          <w:lang w:eastAsia="zh-CN"/>
        </w:rPr>
        <w:t>十九大</w:t>
      </w:r>
      <w:bookmarkEnd w:id="4"/>
      <w:r>
        <w:rPr>
          <w:rFonts w:hint="eastAsia" w:ascii="仿宋" w:hAnsi="仿宋" w:eastAsia="仿宋"/>
          <w:color w:val="auto"/>
          <w:sz w:val="32"/>
          <w:szCs w:val="32"/>
        </w:rPr>
        <w:t>精神，紧紧围绕全县中心工作、重点工作，立足本职，真抓实干。</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是营造统计工作的法制环境。健全主要领导负总责、分管领导亲自抓、责任单位具体管的工作机制，强化法治理念，运用法治思维与法治方式，深化统计改革，推动统计发展。对县市“四上”企业统计人员和乡街以上统计人员进行一次法制大培训。特别是结合开展经济普查和各种调查，按照“普法跟着普查走”模式，全方位加大普法力度。建立联合执法新模式，采取专业执法队伍与相关专业联合、统计系统与其他部门联合执法的方法，营造良好的依法统计的社会环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是强化经济运行的监测服务。对照县委县政府确定的全年目标任务规划，建立事前预计、事中监测、事后统计相结合的全方位经济运行监测体系，强化“经济社会发展到哪里，统计工作就服务到哪里”的理念，强化“统计前哨、前沿”理念，进一步发挥统计在政府决策上的参谋作用，积极为县委、县政府当好参谋助手，为良好“开局”做贡献。</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是推进统计工作的改革创新。建立战略性新型产业统计制度、完善新型农业经营主体调查内容，大力推进核算制度改革、服务业统计改革、投资统计和农村统计改革，组织开展好全面建成小康社会统计监测工作，不断加强经济分析研究和形势预测预判，加强对重大问题和热点问题的调研和分析。</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四是扎实开展经济普查工作。成立普查领导机构，落实经费保障，创新普查组织模式，切实做好第四次全国经济普查各项工作。</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是持续强化统计队伍建设。严格落实党风廉政建设主体责任，坚决把纪律和规矩挺在前面，加强廉政教育和机关作风建设，严格执行党风廉政建设各项规定，强化事争一流的目标追求，一切工作向先进单位对标，保持创先争优的势头，为完成各项统计工作任务提供有力的政治和纪律保障。</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Times New Roman" w:hAnsi="Times New Roman" w:eastAsia="Times New Roman"/>
          <w:color w:val="auto"/>
          <w:sz w:val="32"/>
        </w:rPr>
      </w:pPr>
      <w:r>
        <w:rPr>
          <w:rFonts w:ascii="仿宋" w:hAnsi="仿宋" w:eastAsia="仿宋"/>
          <w:color w:val="auto"/>
          <w:sz w:val="32"/>
        </w:rPr>
        <w:t>统计局是对全县社会经济数据进行统计调查、整理、汇总和分析的业务性部门。按照《中华人民共和国统计法》和《国家统计报表制度》的要求，统计局承担着工业、农业、投资、建筑等60多个专业的定期报表和年报表任务，并同时承担着国家组织的人口普查、经济普查、农业普查等大型国情国力调查任务。我局2019年职责分类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color w:val="auto"/>
          <w:sz w:val="32"/>
        </w:rPr>
      </w:pPr>
      <w:r>
        <w:rPr>
          <w:rFonts w:ascii="仿宋" w:hAnsi="仿宋" w:eastAsia="仿宋"/>
          <w:color w:val="auto"/>
          <w:sz w:val="32"/>
        </w:rPr>
        <w:t xml:space="preserve">    一、国民经济核算：完成全县年度数据的测算，全县季度数据的测算，完成必要分析。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color w:val="auto"/>
          <w:sz w:val="32"/>
        </w:rPr>
      </w:pPr>
      <w:r>
        <w:rPr>
          <w:rFonts w:ascii="仿宋" w:hAnsi="仿宋" w:eastAsia="仿宋"/>
          <w:color w:val="auto"/>
          <w:sz w:val="32"/>
        </w:rPr>
        <w:t xml:space="preserve">    二、统计调查：（1）国情国力调查：完成经济普查登记工作，具体包括完成一系列数据审核验收、数据审核汇总、普查数据抽查与评估工作以及普查数据的发布与资料的开发，最后对此次普查工作进行总结</w:t>
      </w:r>
      <w:r>
        <w:rPr>
          <w:rFonts w:hint="eastAsia" w:ascii="仿宋" w:hAnsi="仿宋" w:eastAsia="仿宋"/>
          <w:color w:val="auto"/>
          <w:sz w:val="32"/>
        </w:rPr>
        <w:t>。</w:t>
      </w:r>
      <w:r>
        <w:rPr>
          <w:rFonts w:hint="eastAsia" w:ascii="仿宋" w:hAnsi="仿宋" w:eastAsia="仿宋"/>
          <w:color w:val="auto"/>
          <w:sz w:val="32"/>
          <w:szCs w:val="32"/>
        </w:rPr>
        <w:t>通过此次经济普查摸清我县第二产业和第三产业规模、布局和效益,全面反映经济社会发展现状,推进政府治理体系和治理能力现代化,加强和改善宏观调控,推进国民经济核算改革,深化供给侧结构性改革,科学</w:t>
      </w:r>
      <w:r>
        <w:rPr>
          <w:rFonts w:hint="eastAsia" w:ascii="仿宋" w:hAnsi="仿宋" w:eastAsia="仿宋"/>
          <w:color w:val="auto"/>
          <w:sz w:val="32"/>
          <w:szCs w:val="32"/>
          <w:lang w:eastAsia="zh-CN"/>
        </w:rPr>
        <w:t>制定</w:t>
      </w:r>
      <w:r>
        <w:rPr>
          <w:rFonts w:hint="eastAsia" w:ascii="仿宋" w:hAnsi="仿宋" w:eastAsia="仿宋"/>
          <w:color w:val="auto"/>
          <w:sz w:val="32"/>
          <w:szCs w:val="32"/>
        </w:rPr>
        <w:t>中长期发展规划和产业政策</w:t>
      </w:r>
      <w:r>
        <w:rPr>
          <w:rFonts w:ascii="仿宋" w:hAnsi="仿宋" w:eastAsia="仿宋"/>
          <w:color w:val="auto"/>
          <w:sz w:val="32"/>
        </w:rPr>
        <w:t>。</w:t>
      </w:r>
      <w:r>
        <w:rPr>
          <w:rFonts w:hint="eastAsia" w:ascii="仿宋" w:hAnsi="仿宋" w:eastAsia="仿宋"/>
          <w:color w:val="auto"/>
          <w:sz w:val="32"/>
        </w:rPr>
        <w:t>普查统计完成率达到100%，普查单位个数达到6000户以上。</w:t>
      </w:r>
      <w:r>
        <w:rPr>
          <w:rFonts w:ascii="仿宋" w:hAnsi="仿宋" w:eastAsia="仿宋"/>
          <w:color w:val="auto"/>
          <w:sz w:val="32"/>
        </w:rPr>
        <w:t>（2）专项统计调查，组织开展城乡百户住户抽样调查、物价、贸易、服务、畜禽监测、规下工业样本、</w:t>
      </w:r>
      <w:r>
        <w:rPr>
          <w:rFonts w:ascii="Times New Roman" w:hAnsi="Times New Roman" w:eastAsia="Times New Roman"/>
          <w:color w:val="auto"/>
          <w:sz w:val="32"/>
        </w:rPr>
        <w:t>“</w:t>
      </w:r>
      <w:r>
        <w:rPr>
          <w:rFonts w:ascii="仿宋" w:hAnsi="仿宋" w:eastAsia="仿宋"/>
          <w:color w:val="auto"/>
          <w:sz w:val="32"/>
        </w:rPr>
        <w:t>四上</w:t>
      </w:r>
      <w:r>
        <w:rPr>
          <w:rFonts w:ascii="Times New Roman" w:hAnsi="Times New Roman" w:eastAsia="Times New Roman"/>
          <w:color w:val="auto"/>
          <w:sz w:val="32"/>
        </w:rPr>
        <w:t>”</w:t>
      </w:r>
      <w:r>
        <w:rPr>
          <w:rFonts w:ascii="仿宋" w:hAnsi="仿宋" w:eastAsia="仿宋"/>
          <w:color w:val="auto"/>
          <w:sz w:val="32"/>
        </w:rPr>
        <w:t>报表企业调查，摸清我县相关行业经济发展状况，完成全县第三产业、工业、农业、基本单位调查、城市、农村经济抽样调查和国家、省、市布置的定期报表统计调查，报表上报率达到100％,为我县相关方面科学发展及时提供监测数据，统计信息、调研报告受县领导批示或被采用的篇数达到六篇以上。（3）统计数据采集：及时准确收集、汇总整理和提供统计数据。向县委、县政府及有关部门提供统计信息和咨询建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color w:val="auto"/>
          <w:sz w:val="32"/>
        </w:rPr>
      </w:pPr>
      <w:r>
        <w:rPr>
          <w:rFonts w:ascii="仿宋" w:hAnsi="仿宋" w:eastAsia="仿宋"/>
          <w:color w:val="auto"/>
          <w:sz w:val="32"/>
        </w:rPr>
        <w:t xml:space="preserve">    三、统计政务管理：（1）综合统计业务管理：进一步规范和加强全县统计调查行为，提高统计人员业务素质和统计调查的整体效率，促进统计工作高质量发展。（2）综合事务管理：提升保障能力及管理水平，完成各项工作任务。</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p>
      <w:pPr>
        <w:spacing w:line="300" w:lineRule="exact"/>
        <w:jc w:val="left"/>
        <w:outlineLvl w:val="0"/>
        <w:rPr>
          <w:color w:val="auto"/>
        </w:rPr>
      </w:pPr>
    </w:p>
    <w:tbl>
      <w:tblPr>
        <w:tblStyle w:val="7"/>
        <w:tblW w:w="139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1111"/>
        <w:gridCol w:w="3402"/>
        <w:gridCol w:w="2715"/>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7" w:type="dxa"/>
            <w:gridSpan w:val="5"/>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color w:val="auto"/>
                <w:sz w:val="24"/>
                <w:szCs w:val="24"/>
              </w:rPr>
            </w:pPr>
            <w:r>
              <w:rPr>
                <w:rFonts w:hint="eastAsia" w:ascii="方正小标宋_GBK" w:eastAsia="方正小标宋_GBK"/>
                <w:color w:val="auto"/>
                <w:sz w:val="24"/>
              </w:rPr>
              <w:t>410曲阳县统计局</w:t>
            </w:r>
          </w:p>
        </w:tc>
        <w:tc>
          <w:tcPr>
            <w:tcW w:w="2948" w:type="dxa"/>
            <w:gridSpan w:val="4"/>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color w:val="auto"/>
                <w:sz w:val="24"/>
                <w:szCs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职责活动</w:t>
            </w:r>
          </w:p>
        </w:tc>
        <w:tc>
          <w:tcPr>
            <w:tcW w:w="111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年度预算数</w:t>
            </w: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内容描述</w:t>
            </w: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绩效指标</w:t>
            </w:r>
          </w:p>
        </w:tc>
        <w:tc>
          <w:tcPr>
            <w:tcW w:w="2948" w:type="dxa"/>
            <w:gridSpan w:val="4"/>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优</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良</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中</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szCs w:val="24"/>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一、国民经济核算</w:t>
            </w:r>
          </w:p>
        </w:tc>
        <w:tc>
          <w:tcPr>
            <w:tcW w:w="11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在全县开展GDP核算、资产负债核算工作。</w:t>
            </w:r>
          </w:p>
        </w:tc>
        <w:tc>
          <w:tcPr>
            <w:tcW w:w="27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完成全县年度数据的测算审核认定工作；完成全县季度数据审核认定工作；完成必要分析，对相关经济决策提供重要依据。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1、国民经济核算</w:t>
            </w:r>
          </w:p>
        </w:tc>
        <w:tc>
          <w:tcPr>
            <w:tcW w:w="111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贯彻执行国家国民经济核算制度，组织实施全县国民经济核算制度和投入产出调查，核算全县生产总值，整理、测算和提供国民经济核算资料。</w:t>
            </w: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完成全县年度、季度数据的测算审核认定工作；完成必要分析，对相关经济决策提供重要依据。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统计信息采用量(篇)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专项统计完成率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调查对象覆盖率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二、统计调查</w:t>
            </w:r>
          </w:p>
        </w:tc>
        <w:tc>
          <w:tcPr>
            <w:tcW w:w="11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105.95</w:t>
            </w:r>
          </w:p>
        </w:tc>
        <w:tc>
          <w:tcPr>
            <w:tcW w:w="34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组织国情国力普查和涉及工业、农业、社科、教育、节能、卫生等相关行业的专项统计调查监测，收集、整理统计数据，提供咨询建议。</w:t>
            </w:r>
          </w:p>
        </w:tc>
        <w:tc>
          <w:tcPr>
            <w:tcW w:w="27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进行业务培训，组织开展深层次课题研究，发布普查主要数据公报，完成普查工作总结和表彰。</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1、国情国力普查</w:t>
            </w:r>
          </w:p>
        </w:tc>
        <w:tc>
          <w:tcPr>
            <w:tcW w:w="111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szCs w:val="24"/>
              </w:rPr>
              <w:t>50.24</w:t>
            </w: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组织完成国情国力普查及重要调查任务，研究提出重大县情县力普查和抽样调查计划并组织实施，汇总、整理和提供有关县情县力方面的统计数据。</w:t>
            </w: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按照国家统计局、财政部关于印发《关于统计部门周期性普查和大型调查经费开支问题的暂行规定》，分年度完成普查工作，确保普查</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普查统计完成率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调查对象覆盖率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r>
              <w:rPr>
                <w:rFonts w:hint="eastAsia" w:ascii="方正书宋_GBK" w:eastAsia="方正书宋_GBK"/>
                <w:color w:val="auto"/>
              </w:rPr>
              <w:t>的顺利完成。</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业务培训覆盖率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统计信息采用量(篇)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2、专项统计调查</w:t>
            </w:r>
          </w:p>
        </w:tc>
        <w:tc>
          <w:tcPr>
            <w:tcW w:w="111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55.71</w:t>
            </w: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根据省、市政府有关文件要求，组织实施涉及相关行业数据的专项统计调查。</w:t>
            </w: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组织开展专项统计调查工作，了解基层情况和动态提供统计信息和咨询建议。</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业务培训覆盖率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统计信息采用量(篇)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≥6</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≥5</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≥3</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调查对象覆盖率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专项统计完成率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3、统计数据采集决策咨询</w:t>
            </w:r>
          </w:p>
        </w:tc>
        <w:tc>
          <w:tcPr>
            <w:tcW w:w="111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管理全县统计数据库网络；落实全县统计信息化系统建设。组织全县统计系统各级各专业实施以企业一套表制度为核心的统计四大工程：建立并管理全县统计信息自动化系统和统计数据库系统。</w:t>
            </w:r>
          </w:p>
        </w:tc>
        <w:tc>
          <w:tcPr>
            <w:tcW w:w="27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保障全县统计信息自动化系统和统计数据库系统运行安全平稳。保证统计数据的顺利报送汇总。</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统计信息化系统建设完成率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color w:val="auto"/>
                <w:szCs w:val="24"/>
              </w:rPr>
            </w:pPr>
          </w:p>
        </w:tc>
        <w:tc>
          <w:tcPr>
            <w:tcW w:w="111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340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27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统计信息化系统正常运转率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≥98%</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三、统计政务管理</w:t>
            </w:r>
          </w:p>
        </w:tc>
        <w:tc>
          <w:tcPr>
            <w:tcW w:w="11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保障机关日常运转，健全全县统计法制建设，指导全县统计专业技术队伍建设。</w:t>
            </w:r>
          </w:p>
        </w:tc>
        <w:tc>
          <w:tcPr>
            <w:tcW w:w="27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保障统计信息化建设、统计执法等全县统计专业技术队伍建设。</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1、综合业务管理</w:t>
            </w:r>
          </w:p>
        </w:tc>
        <w:tc>
          <w:tcPr>
            <w:tcW w:w="11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健全全县统计法制建设，严格查处统计违法现象，开展统计基层基础建设，指导全县统计专业技术队伍建设。</w:t>
            </w:r>
          </w:p>
        </w:tc>
        <w:tc>
          <w:tcPr>
            <w:tcW w:w="27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开展统计执法检查和培训工作，防范统计违法现象的发生；拟定全县统计教育培训制度、规划等。</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培训工作完成率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auto"/>
                <w:szCs w:val="24"/>
              </w:rPr>
            </w:pPr>
            <w:r>
              <w:rPr>
                <w:rFonts w:hint="eastAsia" w:ascii="方正书宋_GBK" w:eastAsia="方正书宋_GBK"/>
                <w:b/>
                <w:color w:val="auto"/>
              </w:rPr>
              <w:t>　　2、综合事务管理</w:t>
            </w:r>
          </w:p>
        </w:tc>
        <w:tc>
          <w:tcPr>
            <w:tcW w:w="11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p>
        </w:tc>
        <w:tc>
          <w:tcPr>
            <w:tcW w:w="34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保障机关日常运转，开展纪检监察、计财内审、人事管理、老干部管理、党建、后勤、行政许可事务性管理等工作。</w:t>
            </w:r>
          </w:p>
        </w:tc>
        <w:tc>
          <w:tcPr>
            <w:tcW w:w="27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保障机关正常运转。</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Cs w:val="24"/>
              </w:rPr>
            </w:pPr>
            <w:r>
              <w:rPr>
                <w:rFonts w:hint="eastAsia" w:ascii="方正书宋_GBK" w:eastAsia="方正书宋_GBK"/>
                <w:color w:val="auto"/>
              </w:rPr>
              <w:t>综合事务保障率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1</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≥80%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≥70%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szCs w:val="24"/>
              </w:rPr>
            </w:pPr>
            <w:r>
              <w:rPr>
                <w:rFonts w:hint="eastAsia" w:ascii="方正书宋_GBK" w:eastAsia="方正书宋_GBK"/>
                <w:color w:val="auto"/>
              </w:rPr>
              <w:t>&lt;70%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11.84</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p>
      <w:pPr>
        <w:spacing w:line="300" w:lineRule="exact"/>
        <w:jc w:val="left"/>
        <w:outlineLvl w:val="0"/>
        <w:rPr>
          <w:color w:val="auto"/>
        </w:rPr>
      </w:pPr>
    </w:p>
    <w:tbl>
      <w:tblPr>
        <w:tblStyle w:val="7"/>
        <w:tblW w:w="13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903"/>
        <w:gridCol w:w="900"/>
        <w:gridCol w:w="910"/>
        <w:gridCol w:w="701"/>
        <w:gridCol w:w="839"/>
        <w:gridCol w:w="790"/>
        <w:gridCol w:w="890"/>
        <w:gridCol w:w="890"/>
        <w:gridCol w:w="890"/>
        <w:gridCol w:w="890"/>
        <w:gridCol w:w="892"/>
        <w:gridCol w:w="892"/>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43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410</w:t>
            </w:r>
            <w:r>
              <w:rPr>
                <w:rFonts w:hint="eastAsia" w:ascii="方正小标宋_GBK" w:eastAsia="方正小标宋_GBK"/>
                <w:color w:val="auto"/>
                <w:sz w:val="24"/>
              </w:rPr>
              <w:t>曲阳县统计局</w:t>
            </w:r>
          </w:p>
        </w:tc>
        <w:tc>
          <w:tcPr>
            <w:tcW w:w="6195"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96"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0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1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0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83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79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195"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3"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903"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00" w:type="dxa"/>
            <w:vMerge w:val="continue"/>
            <w:vAlign w:val="center"/>
          </w:tcPr>
          <w:p>
            <w:pPr>
              <w:spacing w:line="300" w:lineRule="exact"/>
              <w:jc w:val="left"/>
              <w:outlineLvl w:val="0"/>
              <w:rPr>
                <w:color w:val="auto"/>
              </w:rPr>
            </w:pPr>
          </w:p>
        </w:tc>
        <w:tc>
          <w:tcPr>
            <w:tcW w:w="910" w:type="dxa"/>
            <w:vMerge w:val="continue"/>
            <w:vAlign w:val="center"/>
          </w:tcPr>
          <w:p>
            <w:pPr>
              <w:spacing w:line="300" w:lineRule="exact"/>
              <w:jc w:val="left"/>
              <w:outlineLvl w:val="0"/>
              <w:rPr>
                <w:color w:val="auto"/>
              </w:rPr>
            </w:pPr>
          </w:p>
        </w:tc>
        <w:tc>
          <w:tcPr>
            <w:tcW w:w="701" w:type="dxa"/>
            <w:vMerge w:val="continue"/>
            <w:vAlign w:val="center"/>
          </w:tcPr>
          <w:p>
            <w:pPr>
              <w:spacing w:line="300" w:lineRule="exact"/>
              <w:jc w:val="left"/>
              <w:outlineLvl w:val="0"/>
              <w:rPr>
                <w:color w:val="auto"/>
              </w:rPr>
            </w:pPr>
          </w:p>
        </w:tc>
        <w:tc>
          <w:tcPr>
            <w:tcW w:w="839" w:type="dxa"/>
            <w:vMerge w:val="continue"/>
            <w:vAlign w:val="center"/>
          </w:tcPr>
          <w:p>
            <w:pPr>
              <w:spacing w:line="300" w:lineRule="exact"/>
              <w:jc w:val="left"/>
              <w:outlineLvl w:val="0"/>
              <w:rPr>
                <w:color w:val="auto"/>
              </w:rPr>
            </w:pPr>
          </w:p>
        </w:tc>
        <w:tc>
          <w:tcPr>
            <w:tcW w:w="790" w:type="dxa"/>
            <w:vMerge w:val="continue"/>
            <w:vAlign w:val="center"/>
          </w:tcPr>
          <w:p>
            <w:pPr>
              <w:spacing w:line="300" w:lineRule="exact"/>
              <w:jc w:val="left"/>
              <w:outlineLvl w:val="0"/>
              <w:rPr>
                <w:color w:val="auto"/>
              </w:rPr>
            </w:pPr>
          </w:p>
        </w:tc>
        <w:tc>
          <w:tcPr>
            <w:tcW w:w="89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454"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5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93" w:type="dxa"/>
            <w:vMerge w:val="continue"/>
            <w:vAlign w:val="center"/>
          </w:tcPr>
          <w:p>
            <w:pPr>
              <w:spacing w:line="300" w:lineRule="exact"/>
              <w:jc w:val="left"/>
              <w:outlineLvl w:val="0"/>
              <w:rPr>
                <w:color w:val="auto"/>
              </w:rPr>
            </w:pPr>
          </w:p>
        </w:tc>
        <w:tc>
          <w:tcPr>
            <w:tcW w:w="903" w:type="dxa"/>
            <w:vMerge w:val="continue"/>
            <w:vAlign w:val="center"/>
          </w:tcPr>
          <w:p>
            <w:pPr>
              <w:spacing w:line="300" w:lineRule="exact"/>
              <w:jc w:val="left"/>
              <w:outlineLvl w:val="0"/>
              <w:rPr>
                <w:color w:val="auto"/>
              </w:rPr>
            </w:pPr>
          </w:p>
        </w:tc>
        <w:tc>
          <w:tcPr>
            <w:tcW w:w="900" w:type="dxa"/>
            <w:vMerge w:val="continue"/>
            <w:vAlign w:val="center"/>
          </w:tcPr>
          <w:p>
            <w:pPr>
              <w:spacing w:line="300" w:lineRule="exact"/>
              <w:jc w:val="left"/>
              <w:outlineLvl w:val="0"/>
              <w:rPr>
                <w:color w:val="auto"/>
              </w:rPr>
            </w:pPr>
          </w:p>
        </w:tc>
        <w:tc>
          <w:tcPr>
            <w:tcW w:w="910" w:type="dxa"/>
            <w:vMerge w:val="continue"/>
            <w:vAlign w:val="center"/>
          </w:tcPr>
          <w:p>
            <w:pPr>
              <w:spacing w:line="300" w:lineRule="exact"/>
              <w:jc w:val="left"/>
              <w:outlineLvl w:val="0"/>
              <w:rPr>
                <w:color w:val="auto"/>
              </w:rPr>
            </w:pPr>
          </w:p>
        </w:tc>
        <w:tc>
          <w:tcPr>
            <w:tcW w:w="701" w:type="dxa"/>
            <w:vMerge w:val="continue"/>
            <w:vAlign w:val="center"/>
          </w:tcPr>
          <w:p>
            <w:pPr>
              <w:spacing w:line="300" w:lineRule="exact"/>
              <w:jc w:val="left"/>
              <w:outlineLvl w:val="0"/>
              <w:rPr>
                <w:color w:val="auto"/>
              </w:rPr>
            </w:pPr>
          </w:p>
        </w:tc>
        <w:tc>
          <w:tcPr>
            <w:tcW w:w="839" w:type="dxa"/>
            <w:vMerge w:val="continue"/>
            <w:vAlign w:val="center"/>
          </w:tcPr>
          <w:p>
            <w:pPr>
              <w:spacing w:line="300" w:lineRule="exact"/>
              <w:jc w:val="left"/>
              <w:outlineLvl w:val="0"/>
              <w:rPr>
                <w:color w:val="auto"/>
              </w:rPr>
            </w:pPr>
          </w:p>
        </w:tc>
        <w:tc>
          <w:tcPr>
            <w:tcW w:w="790" w:type="dxa"/>
            <w:vMerge w:val="continue"/>
            <w:vAlign w:val="center"/>
          </w:tcPr>
          <w:p>
            <w:pPr>
              <w:spacing w:line="300" w:lineRule="exact"/>
              <w:jc w:val="left"/>
              <w:outlineLvl w:val="0"/>
              <w:rPr>
                <w:color w:val="auto"/>
              </w:rPr>
            </w:pPr>
          </w:p>
        </w:tc>
        <w:tc>
          <w:tcPr>
            <w:tcW w:w="890" w:type="dxa"/>
            <w:vMerge w:val="continue"/>
            <w:vAlign w:val="center"/>
          </w:tcPr>
          <w:p>
            <w:pPr>
              <w:spacing w:line="300" w:lineRule="exact"/>
              <w:jc w:val="left"/>
              <w:outlineLvl w:val="0"/>
              <w:rPr>
                <w:color w:val="auto"/>
              </w:rPr>
            </w:pPr>
          </w:p>
        </w:tc>
        <w:tc>
          <w:tcPr>
            <w:tcW w:w="890"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890"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890"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892"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892"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5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903" w:type="dxa"/>
            <w:vAlign w:val="center"/>
          </w:tcPr>
          <w:p>
            <w:pPr>
              <w:spacing w:line="300" w:lineRule="exact"/>
              <w:jc w:val="right"/>
              <w:rPr>
                <w:rFonts w:ascii="方正书宋_GBK" w:eastAsia="方正书宋_GBK"/>
                <w:b/>
                <w:color w:val="auto"/>
              </w:rPr>
            </w:pPr>
          </w:p>
        </w:tc>
        <w:tc>
          <w:tcPr>
            <w:tcW w:w="900" w:type="dxa"/>
            <w:vAlign w:val="center"/>
          </w:tcPr>
          <w:p>
            <w:pPr>
              <w:spacing w:line="300" w:lineRule="exact"/>
              <w:jc w:val="left"/>
              <w:rPr>
                <w:rFonts w:ascii="方正书宋_GBK" w:eastAsia="方正书宋_GBK"/>
                <w:b/>
                <w:color w:val="auto"/>
              </w:rPr>
            </w:pPr>
          </w:p>
        </w:tc>
        <w:tc>
          <w:tcPr>
            <w:tcW w:w="910" w:type="dxa"/>
            <w:vAlign w:val="center"/>
          </w:tcPr>
          <w:p>
            <w:pPr>
              <w:spacing w:line="300" w:lineRule="exact"/>
              <w:jc w:val="left"/>
              <w:rPr>
                <w:rFonts w:ascii="方正书宋_GBK" w:eastAsia="方正书宋_GBK"/>
                <w:b/>
                <w:color w:val="auto"/>
              </w:rPr>
            </w:pPr>
          </w:p>
        </w:tc>
        <w:tc>
          <w:tcPr>
            <w:tcW w:w="701" w:type="dxa"/>
            <w:vAlign w:val="center"/>
          </w:tcPr>
          <w:p>
            <w:pPr>
              <w:spacing w:line="300" w:lineRule="exact"/>
              <w:jc w:val="left"/>
              <w:rPr>
                <w:rFonts w:ascii="方正书宋_GBK" w:eastAsia="方正书宋_GBK"/>
                <w:b/>
                <w:color w:val="auto"/>
              </w:rPr>
            </w:pPr>
          </w:p>
        </w:tc>
        <w:tc>
          <w:tcPr>
            <w:tcW w:w="839" w:type="dxa"/>
            <w:vAlign w:val="center"/>
          </w:tcPr>
          <w:p>
            <w:pPr>
              <w:spacing w:line="300" w:lineRule="exact"/>
              <w:jc w:val="right"/>
              <w:rPr>
                <w:rFonts w:ascii="方正书宋_GBK" w:eastAsia="方正书宋_GBK"/>
                <w:b/>
                <w:color w:val="auto"/>
              </w:rPr>
            </w:pPr>
          </w:p>
        </w:tc>
        <w:tc>
          <w:tcPr>
            <w:tcW w:w="790" w:type="dxa"/>
            <w:vAlign w:val="center"/>
          </w:tcPr>
          <w:p>
            <w:pPr>
              <w:spacing w:line="300" w:lineRule="exact"/>
              <w:jc w:val="right"/>
              <w:rPr>
                <w:rFonts w:ascii="方正书宋_GBK" w:eastAsia="方正书宋_GBK"/>
                <w:b/>
                <w:color w:val="auto"/>
              </w:rPr>
            </w:pP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p>
        </w:tc>
        <w:tc>
          <w:tcPr>
            <w:tcW w:w="892" w:type="dxa"/>
            <w:vAlign w:val="center"/>
          </w:tcPr>
          <w:p>
            <w:pPr>
              <w:spacing w:line="300" w:lineRule="exact"/>
              <w:jc w:val="right"/>
              <w:rPr>
                <w:rFonts w:ascii="方正书宋_GBK" w:eastAsia="方正书宋_GBK"/>
                <w:b/>
                <w:color w:val="auto"/>
              </w:rPr>
            </w:pPr>
          </w:p>
        </w:tc>
        <w:tc>
          <w:tcPr>
            <w:tcW w:w="892" w:type="dxa"/>
            <w:vAlign w:val="center"/>
          </w:tcPr>
          <w:p>
            <w:pPr>
              <w:spacing w:line="300" w:lineRule="exact"/>
              <w:jc w:val="right"/>
              <w:rPr>
                <w:rFonts w:ascii="方正书宋_GBK" w:eastAsia="方正书宋_GBK"/>
                <w:b/>
                <w:color w:val="auto"/>
              </w:rPr>
            </w:pPr>
          </w:p>
        </w:tc>
        <w:tc>
          <w:tcPr>
            <w:tcW w:w="85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曲阳县统计局事业小计</w:t>
            </w:r>
          </w:p>
        </w:tc>
        <w:tc>
          <w:tcPr>
            <w:tcW w:w="903" w:type="dxa"/>
            <w:vAlign w:val="center"/>
          </w:tcPr>
          <w:p>
            <w:pPr>
              <w:spacing w:line="300" w:lineRule="exact"/>
              <w:jc w:val="right"/>
              <w:rPr>
                <w:rFonts w:ascii="方正书宋_GBK" w:eastAsia="方正书宋_GBK"/>
                <w:b/>
                <w:color w:val="auto"/>
              </w:rPr>
            </w:pPr>
          </w:p>
        </w:tc>
        <w:tc>
          <w:tcPr>
            <w:tcW w:w="900" w:type="dxa"/>
            <w:vAlign w:val="center"/>
          </w:tcPr>
          <w:p>
            <w:pPr>
              <w:spacing w:line="300" w:lineRule="exact"/>
              <w:jc w:val="left"/>
              <w:rPr>
                <w:rFonts w:ascii="方正书宋_GBK" w:eastAsia="方正书宋_GBK"/>
                <w:b/>
                <w:color w:val="auto"/>
              </w:rPr>
            </w:pPr>
          </w:p>
        </w:tc>
        <w:tc>
          <w:tcPr>
            <w:tcW w:w="910" w:type="dxa"/>
            <w:vAlign w:val="center"/>
          </w:tcPr>
          <w:p>
            <w:pPr>
              <w:spacing w:line="300" w:lineRule="exact"/>
              <w:jc w:val="left"/>
              <w:rPr>
                <w:rFonts w:ascii="方正书宋_GBK" w:eastAsia="方正书宋_GBK"/>
                <w:b/>
                <w:color w:val="auto"/>
              </w:rPr>
            </w:pPr>
          </w:p>
        </w:tc>
        <w:tc>
          <w:tcPr>
            <w:tcW w:w="701" w:type="dxa"/>
            <w:vAlign w:val="center"/>
          </w:tcPr>
          <w:p>
            <w:pPr>
              <w:spacing w:line="300" w:lineRule="exact"/>
              <w:jc w:val="left"/>
              <w:rPr>
                <w:rFonts w:ascii="方正书宋_GBK" w:eastAsia="方正书宋_GBK"/>
                <w:b/>
                <w:color w:val="auto"/>
              </w:rPr>
            </w:pPr>
          </w:p>
        </w:tc>
        <w:tc>
          <w:tcPr>
            <w:tcW w:w="839" w:type="dxa"/>
            <w:vAlign w:val="center"/>
          </w:tcPr>
          <w:p>
            <w:pPr>
              <w:spacing w:line="300" w:lineRule="exact"/>
              <w:jc w:val="right"/>
              <w:rPr>
                <w:rFonts w:ascii="方正书宋_GBK" w:eastAsia="方正书宋_GBK"/>
                <w:b/>
                <w:color w:val="auto"/>
              </w:rPr>
            </w:pPr>
          </w:p>
        </w:tc>
        <w:tc>
          <w:tcPr>
            <w:tcW w:w="790" w:type="dxa"/>
            <w:vAlign w:val="center"/>
          </w:tcPr>
          <w:p>
            <w:pPr>
              <w:spacing w:line="300" w:lineRule="exact"/>
              <w:jc w:val="right"/>
              <w:rPr>
                <w:rFonts w:ascii="方正书宋_GBK" w:eastAsia="方正书宋_GBK"/>
                <w:b/>
                <w:color w:val="auto"/>
              </w:rPr>
            </w:pP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11.84</w:t>
            </w:r>
          </w:p>
        </w:tc>
        <w:tc>
          <w:tcPr>
            <w:tcW w:w="890" w:type="dxa"/>
            <w:vAlign w:val="center"/>
          </w:tcPr>
          <w:p>
            <w:pPr>
              <w:spacing w:line="300" w:lineRule="exact"/>
              <w:jc w:val="right"/>
              <w:rPr>
                <w:rFonts w:ascii="方正书宋_GBK" w:eastAsia="方正书宋_GBK"/>
                <w:b/>
                <w:color w:val="auto"/>
              </w:rPr>
            </w:pPr>
          </w:p>
        </w:tc>
        <w:tc>
          <w:tcPr>
            <w:tcW w:w="892" w:type="dxa"/>
            <w:vAlign w:val="center"/>
          </w:tcPr>
          <w:p>
            <w:pPr>
              <w:spacing w:line="300" w:lineRule="exact"/>
              <w:jc w:val="right"/>
              <w:rPr>
                <w:rFonts w:ascii="方正书宋_GBK" w:eastAsia="方正书宋_GBK"/>
                <w:b/>
                <w:color w:val="auto"/>
              </w:rPr>
            </w:pPr>
          </w:p>
        </w:tc>
        <w:tc>
          <w:tcPr>
            <w:tcW w:w="892" w:type="dxa"/>
            <w:vAlign w:val="center"/>
          </w:tcPr>
          <w:p>
            <w:pPr>
              <w:spacing w:line="300" w:lineRule="exact"/>
              <w:jc w:val="right"/>
              <w:rPr>
                <w:rFonts w:ascii="方正书宋_GBK" w:eastAsia="方正书宋_GBK"/>
                <w:b/>
                <w:color w:val="auto"/>
              </w:rPr>
            </w:pPr>
          </w:p>
        </w:tc>
        <w:tc>
          <w:tcPr>
            <w:tcW w:w="85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统计抽样调查业务经费</w:t>
            </w:r>
          </w:p>
        </w:tc>
        <w:tc>
          <w:tcPr>
            <w:tcW w:w="903"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42.33</w:t>
            </w:r>
          </w:p>
        </w:tc>
        <w:tc>
          <w:tcPr>
            <w:tcW w:w="90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印刷和出版</w:t>
            </w:r>
          </w:p>
        </w:tc>
        <w:tc>
          <w:tcPr>
            <w:tcW w:w="910" w:type="dxa"/>
            <w:vAlign w:val="center"/>
          </w:tcPr>
          <w:p>
            <w:pPr>
              <w:spacing w:line="300" w:lineRule="exact"/>
              <w:jc w:val="left"/>
              <w:rPr>
                <w:rFonts w:ascii="方正书宋_GBK" w:eastAsia="方正书宋_GBK"/>
                <w:color w:val="auto"/>
              </w:rPr>
            </w:pPr>
            <w:r>
              <w:rPr>
                <w:rFonts w:ascii="方正书宋_GBK" w:eastAsia="方正书宋_GBK"/>
                <w:color w:val="auto"/>
              </w:rPr>
              <w:t>C0814</w:t>
            </w:r>
          </w:p>
        </w:tc>
        <w:tc>
          <w:tcPr>
            <w:tcW w:w="7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本</w:t>
            </w:r>
          </w:p>
        </w:tc>
        <w:tc>
          <w:tcPr>
            <w:tcW w:w="839" w:type="dxa"/>
            <w:vAlign w:val="center"/>
          </w:tcPr>
          <w:p>
            <w:pPr>
              <w:spacing w:line="300" w:lineRule="exact"/>
              <w:jc w:val="right"/>
              <w:rPr>
                <w:rFonts w:ascii="方正书宋_GBK" w:eastAsia="方正书宋_GBK"/>
                <w:color w:val="auto"/>
              </w:rPr>
            </w:pPr>
            <w:r>
              <w:rPr>
                <w:rFonts w:ascii="方正书宋_GBK" w:eastAsia="方正书宋_GBK"/>
                <w:color w:val="auto"/>
              </w:rPr>
              <w:t>3</w:t>
            </w:r>
            <w:r>
              <w:rPr>
                <w:rFonts w:hint="eastAsia" w:ascii="方正书宋_GBK" w:eastAsia="方正书宋_GBK"/>
                <w:color w:val="auto"/>
              </w:rPr>
              <w:t>14</w:t>
            </w:r>
          </w:p>
        </w:tc>
        <w:tc>
          <w:tcPr>
            <w:tcW w:w="790" w:type="dxa"/>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890" w:type="dxa"/>
            <w:vAlign w:val="center"/>
          </w:tcPr>
          <w:p>
            <w:pPr>
              <w:spacing w:line="300" w:lineRule="exact"/>
              <w:jc w:val="right"/>
              <w:rPr>
                <w:rFonts w:ascii="方正书宋_GBK" w:eastAsia="方正书宋_GBK"/>
                <w:color w:val="auto"/>
              </w:rPr>
            </w:pPr>
            <w:r>
              <w:rPr>
                <w:rFonts w:ascii="方正书宋_GBK" w:eastAsia="方正书宋_GBK"/>
                <w:color w:val="auto"/>
              </w:rPr>
              <w:t>3.</w:t>
            </w:r>
            <w:r>
              <w:rPr>
                <w:rFonts w:hint="eastAsia" w:ascii="方正书宋_GBK" w:eastAsia="方正书宋_GBK"/>
                <w:color w:val="auto"/>
              </w:rPr>
              <w:t>14</w:t>
            </w:r>
          </w:p>
        </w:tc>
        <w:tc>
          <w:tcPr>
            <w:tcW w:w="890" w:type="dxa"/>
            <w:vAlign w:val="center"/>
          </w:tcPr>
          <w:p>
            <w:pPr>
              <w:spacing w:line="300" w:lineRule="exact"/>
              <w:jc w:val="right"/>
              <w:rPr>
                <w:rFonts w:ascii="方正书宋_GBK" w:eastAsia="方正书宋_GBK"/>
                <w:color w:val="auto"/>
              </w:rPr>
            </w:pPr>
            <w:r>
              <w:rPr>
                <w:rFonts w:ascii="方正书宋_GBK" w:eastAsia="方正书宋_GBK"/>
                <w:color w:val="auto"/>
              </w:rPr>
              <w:t>3.</w:t>
            </w:r>
            <w:r>
              <w:rPr>
                <w:rFonts w:hint="eastAsia" w:ascii="方正书宋_GBK" w:eastAsia="方正书宋_GBK"/>
                <w:color w:val="auto"/>
              </w:rPr>
              <w:t>14</w:t>
            </w:r>
          </w:p>
        </w:tc>
        <w:tc>
          <w:tcPr>
            <w:tcW w:w="890" w:type="dxa"/>
            <w:vAlign w:val="center"/>
          </w:tcPr>
          <w:p>
            <w:pPr>
              <w:spacing w:line="300" w:lineRule="exact"/>
              <w:jc w:val="right"/>
              <w:rPr>
                <w:rFonts w:ascii="方正书宋_GBK" w:eastAsia="方正书宋_GBK"/>
                <w:color w:val="auto"/>
              </w:rPr>
            </w:pPr>
            <w:r>
              <w:rPr>
                <w:rFonts w:ascii="方正书宋_GBK" w:eastAsia="方正书宋_GBK"/>
                <w:color w:val="auto"/>
              </w:rPr>
              <w:t>3.</w:t>
            </w:r>
            <w:r>
              <w:rPr>
                <w:rFonts w:hint="eastAsia" w:ascii="方正书宋_GBK" w:eastAsia="方正书宋_GBK"/>
                <w:color w:val="auto"/>
              </w:rPr>
              <w:t>14</w:t>
            </w:r>
          </w:p>
        </w:tc>
        <w:tc>
          <w:tcPr>
            <w:tcW w:w="890"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5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第四次全国经济普查业务经费</w:t>
            </w:r>
          </w:p>
        </w:tc>
        <w:tc>
          <w:tcPr>
            <w:tcW w:w="903" w:type="dxa"/>
            <w:vMerge w:val="restart"/>
            <w:vAlign w:val="center"/>
          </w:tcPr>
          <w:p>
            <w:pPr>
              <w:spacing w:line="300" w:lineRule="exact"/>
              <w:jc w:val="right"/>
              <w:rPr>
                <w:rFonts w:ascii="方正书宋_GBK" w:eastAsia="方正书宋_GBK"/>
                <w:color w:val="auto"/>
              </w:rPr>
            </w:pPr>
            <w:r>
              <w:rPr>
                <w:rFonts w:hint="eastAsia" w:ascii="方正书宋_GBK" w:eastAsia="方正书宋_GBK"/>
                <w:color w:val="auto"/>
              </w:rPr>
              <w:t>45.74</w:t>
            </w:r>
          </w:p>
        </w:tc>
        <w:tc>
          <w:tcPr>
            <w:tcW w:w="900"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印刷和出版</w:t>
            </w:r>
          </w:p>
        </w:tc>
        <w:tc>
          <w:tcPr>
            <w:tcW w:w="910" w:type="dxa"/>
            <w:vAlign w:val="center"/>
          </w:tcPr>
          <w:p>
            <w:pPr>
              <w:spacing w:line="300" w:lineRule="exact"/>
              <w:jc w:val="left"/>
              <w:rPr>
                <w:rFonts w:ascii="方正书宋_GBK" w:eastAsia="方正书宋_GBK"/>
                <w:color w:val="auto"/>
              </w:rPr>
            </w:pPr>
            <w:r>
              <w:rPr>
                <w:rFonts w:ascii="方正书宋_GBK" w:eastAsia="方正书宋_GBK"/>
                <w:color w:val="auto"/>
              </w:rPr>
              <w:t>C0814</w:t>
            </w:r>
          </w:p>
        </w:tc>
        <w:tc>
          <w:tcPr>
            <w:tcW w:w="70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本</w:t>
            </w:r>
          </w:p>
        </w:tc>
        <w:tc>
          <w:tcPr>
            <w:tcW w:w="839"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450</w:t>
            </w:r>
          </w:p>
        </w:tc>
        <w:tc>
          <w:tcPr>
            <w:tcW w:w="790" w:type="dxa"/>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4.5</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4.5</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4.5</w:t>
            </w:r>
          </w:p>
        </w:tc>
        <w:tc>
          <w:tcPr>
            <w:tcW w:w="890"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5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Merge w:val="continue"/>
            <w:vAlign w:val="center"/>
          </w:tcPr>
          <w:p>
            <w:pPr>
              <w:spacing w:line="300" w:lineRule="exact"/>
              <w:jc w:val="left"/>
              <w:rPr>
                <w:rFonts w:hint="eastAsia" w:ascii="方正书宋_GBK" w:eastAsia="方正书宋_GBK"/>
                <w:color w:val="auto"/>
              </w:rPr>
            </w:pPr>
          </w:p>
        </w:tc>
        <w:tc>
          <w:tcPr>
            <w:tcW w:w="903" w:type="dxa"/>
            <w:vMerge w:val="continue"/>
            <w:vAlign w:val="center"/>
          </w:tcPr>
          <w:p>
            <w:pPr>
              <w:spacing w:line="300" w:lineRule="exact"/>
              <w:jc w:val="right"/>
              <w:rPr>
                <w:rFonts w:ascii="方正书宋_GBK" w:eastAsia="方正书宋_GBK"/>
                <w:color w:val="auto"/>
              </w:rPr>
            </w:pPr>
          </w:p>
        </w:tc>
        <w:tc>
          <w:tcPr>
            <w:tcW w:w="900"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办公消耗用品及类似物品</w:t>
            </w:r>
          </w:p>
        </w:tc>
        <w:tc>
          <w:tcPr>
            <w:tcW w:w="91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A09</w:t>
            </w:r>
          </w:p>
        </w:tc>
        <w:tc>
          <w:tcPr>
            <w:tcW w:w="70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个</w:t>
            </w:r>
          </w:p>
        </w:tc>
        <w:tc>
          <w:tcPr>
            <w:tcW w:w="839"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220</w:t>
            </w:r>
          </w:p>
        </w:tc>
        <w:tc>
          <w:tcPr>
            <w:tcW w:w="7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0.01</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2.2</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2.2</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2.2</w:t>
            </w:r>
          </w:p>
        </w:tc>
        <w:tc>
          <w:tcPr>
            <w:tcW w:w="890"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5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93"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第四次全国经济普查专款</w:t>
            </w:r>
          </w:p>
        </w:tc>
        <w:tc>
          <w:tcPr>
            <w:tcW w:w="903"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4.5</w:t>
            </w:r>
          </w:p>
        </w:tc>
        <w:tc>
          <w:tcPr>
            <w:tcW w:w="900"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印刷和出版</w:t>
            </w:r>
          </w:p>
        </w:tc>
        <w:tc>
          <w:tcPr>
            <w:tcW w:w="910" w:type="dxa"/>
            <w:vAlign w:val="center"/>
          </w:tcPr>
          <w:p>
            <w:pPr>
              <w:spacing w:line="300" w:lineRule="exact"/>
              <w:jc w:val="left"/>
              <w:rPr>
                <w:rFonts w:ascii="方正书宋_GBK" w:eastAsia="方正书宋_GBK"/>
                <w:color w:val="auto"/>
              </w:rPr>
            </w:pPr>
            <w:r>
              <w:rPr>
                <w:rFonts w:ascii="方正书宋_GBK" w:eastAsia="方正书宋_GBK"/>
                <w:color w:val="auto"/>
              </w:rPr>
              <w:t>C0814</w:t>
            </w:r>
          </w:p>
        </w:tc>
        <w:tc>
          <w:tcPr>
            <w:tcW w:w="70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本</w:t>
            </w:r>
          </w:p>
        </w:tc>
        <w:tc>
          <w:tcPr>
            <w:tcW w:w="839"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200</w:t>
            </w:r>
          </w:p>
        </w:tc>
        <w:tc>
          <w:tcPr>
            <w:tcW w:w="790" w:type="dxa"/>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w:t>
            </w:r>
          </w:p>
        </w:tc>
        <w:tc>
          <w:tcPr>
            <w:tcW w:w="890" w:type="dxa"/>
            <w:vAlign w:val="center"/>
          </w:tcPr>
          <w:p>
            <w:pPr>
              <w:spacing w:line="300" w:lineRule="exact"/>
              <w:jc w:val="right"/>
              <w:rPr>
                <w:rFonts w:ascii="方正书宋_GBK" w:eastAsia="方正书宋_GBK"/>
                <w:color w:val="auto"/>
              </w:rPr>
            </w:pPr>
            <w:r>
              <w:rPr>
                <w:rFonts w:hint="eastAsia" w:ascii="方正书宋_GBK" w:eastAsia="方正书宋_GBK"/>
                <w:color w:val="auto"/>
              </w:rPr>
              <w:t>2</w:t>
            </w:r>
          </w:p>
        </w:tc>
        <w:tc>
          <w:tcPr>
            <w:tcW w:w="890"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92" w:type="dxa"/>
            <w:vAlign w:val="center"/>
          </w:tcPr>
          <w:p>
            <w:pPr>
              <w:spacing w:line="300" w:lineRule="exact"/>
              <w:jc w:val="right"/>
              <w:rPr>
                <w:rFonts w:ascii="方正书宋_GBK" w:eastAsia="方正书宋_GBK"/>
                <w:color w:val="auto"/>
              </w:rPr>
            </w:pPr>
          </w:p>
        </w:tc>
        <w:tc>
          <w:tcPr>
            <w:tcW w:w="851"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曲阳县统计局</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56.61</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本年度我单位无固定资产购置项目。</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省人大常委会办公厅</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56.61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7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33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41.31</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1A72"/>
    <w:rsid w:val="0004490B"/>
    <w:rsid w:val="000604DF"/>
    <w:rsid w:val="000B6658"/>
    <w:rsid w:val="00114416"/>
    <w:rsid w:val="0013228E"/>
    <w:rsid w:val="001744A3"/>
    <w:rsid w:val="0027733F"/>
    <w:rsid w:val="002E4731"/>
    <w:rsid w:val="003277EC"/>
    <w:rsid w:val="00393F1A"/>
    <w:rsid w:val="00400F31"/>
    <w:rsid w:val="00417D63"/>
    <w:rsid w:val="00452A61"/>
    <w:rsid w:val="00456D84"/>
    <w:rsid w:val="004732BE"/>
    <w:rsid w:val="00492E0D"/>
    <w:rsid w:val="005924EA"/>
    <w:rsid w:val="006034DC"/>
    <w:rsid w:val="00621DB1"/>
    <w:rsid w:val="00657CF5"/>
    <w:rsid w:val="00690F89"/>
    <w:rsid w:val="006D7083"/>
    <w:rsid w:val="00761189"/>
    <w:rsid w:val="007B0F2A"/>
    <w:rsid w:val="008003BA"/>
    <w:rsid w:val="00817B30"/>
    <w:rsid w:val="0085745B"/>
    <w:rsid w:val="008A7CDE"/>
    <w:rsid w:val="008B1C30"/>
    <w:rsid w:val="008C091D"/>
    <w:rsid w:val="009933B1"/>
    <w:rsid w:val="00A21906"/>
    <w:rsid w:val="00A47785"/>
    <w:rsid w:val="00A64413"/>
    <w:rsid w:val="00B201E5"/>
    <w:rsid w:val="00CF70B2"/>
    <w:rsid w:val="00D0550E"/>
    <w:rsid w:val="00D42E1D"/>
    <w:rsid w:val="00D743B0"/>
    <w:rsid w:val="00DB1EBE"/>
    <w:rsid w:val="00DC047D"/>
    <w:rsid w:val="00E27289"/>
    <w:rsid w:val="00E57005"/>
    <w:rsid w:val="00E66DCE"/>
    <w:rsid w:val="00E908E3"/>
    <w:rsid w:val="00F171F2"/>
    <w:rsid w:val="00F26F1A"/>
    <w:rsid w:val="00F33D8A"/>
    <w:rsid w:val="00FA6498"/>
    <w:rsid w:val="00FC112A"/>
    <w:rsid w:val="00FD580E"/>
    <w:rsid w:val="00FF53E6"/>
    <w:rsid w:val="1B201E0F"/>
    <w:rsid w:val="20C264A0"/>
    <w:rsid w:val="223A42DA"/>
    <w:rsid w:val="22AE7F72"/>
    <w:rsid w:val="32733A57"/>
    <w:rsid w:val="4CCA0089"/>
    <w:rsid w:val="58D5734A"/>
    <w:rsid w:val="621A0BA6"/>
    <w:rsid w:val="638B4023"/>
    <w:rsid w:val="6E2D7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character" w:customStyle="1" w:styleId="9">
    <w:name w:val="页脚 Char"/>
    <w:link w:val="3"/>
    <w:semiHidden/>
    <w:qFormat/>
    <w:uiPriority w:val="0"/>
    <w:rPr>
      <w:rFonts w:ascii="Times New Roman" w:hAnsi="Times New Roman" w:eastAsia="宋体" w:cs="Times New Roman"/>
      <w:sz w:val="18"/>
      <w:szCs w:val="18"/>
    </w:rPr>
  </w:style>
  <w:style w:type="character" w:customStyle="1" w:styleId="10">
    <w:name w:val="页眉 Char"/>
    <w:link w:val="4"/>
    <w:semiHidden/>
    <w:qFormat/>
    <w:uiPriority w:val="0"/>
    <w:rPr>
      <w:rFonts w:ascii="Times New Roman" w:hAnsi="Times New Roman" w:eastAsia="宋体" w:cs="Times New Roman"/>
      <w:sz w:val="18"/>
      <w:szCs w:val="18"/>
    </w:rPr>
  </w:style>
  <w:style w:type="paragraph" w:customStyle="1" w:styleId="11">
    <w:name w:val="Char"/>
    <w:basedOn w:val="1"/>
    <w:qFormat/>
    <w:uiPriority w:val="0"/>
    <w:rPr>
      <w:rFonts w:ascii="Times New Roman" w:hAnsi="Times New Roman" w:cs="Times New Roman"/>
      <w:szCs w:val="24"/>
    </w:rPr>
  </w:style>
  <w:style w:type="character" w:customStyle="1" w:styleId="12">
    <w:name w:val="批注框文本 Char"/>
    <w:basedOn w:val="8"/>
    <w:link w:val="2"/>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830</Words>
  <Characters>4737</Characters>
  <Lines>39</Lines>
  <Paragraphs>11</Paragraphs>
  <TotalTime>0</TotalTime>
  <ScaleCrop>false</ScaleCrop>
  <LinksUpToDate>false</LinksUpToDate>
  <CharactersWithSpaces>5556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2019-02-26T08:10:00Z</cp:lastPrinted>
  <dcterms:modified xsi:type="dcterms:W3CDTF">2025-02-19T01:30:15Z</dcterms:modified>
  <dc:title>Administrator</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