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4" w:name="_GoBack"/>
      <w:bookmarkEnd w:id="4"/>
      <w:r>
        <w:rPr>
          <w:rFonts w:hint="eastAsia" w:ascii="Times New Roman" w:hAnsi="Times New Roman" w:eastAsia="方正小标宋_GBK" w:cs="Times New Roman"/>
          <w:sz w:val="44"/>
          <w:szCs w:val="44"/>
        </w:rPr>
        <w:t>曲阳县委组织部</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lang w:val="en-US" w:eastAsia="zh-CN"/>
        </w:rPr>
        <w:t>9</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《地方预决算公开操作规程》和《河北省</w:t>
      </w:r>
      <w:r>
        <w:rPr>
          <w:rFonts w:hint="eastAsia" w:ascii="仿宋" w:hAnsi="仿宋" w:eastAsia="仿宋" w:cs="Times New Roman"/>
          <w:sz w:val="32"/>
          <w:szCs w:val="32"/>
          <w:lang w:eastAsia="zh-CN"/>
        </w:rPr>
        <w:t>财政厅修订补充</w:t>
      </w:r>
      <w:r>
        <w:rPr>
          <w:rFonts w:hint="eastAsia" w:ascii="仿宋" w:hAnsi="仿宋" w:eastAsia="仿宋" w:cs="Times New Roman"/>
          <w:sz w:val="32"/>
          <w:szCs w:val="32"/>
          <w:lang w:val="en-US" w:eastAsia="zh-CN"/>
        </w:rPr>
        <w:t>&lt;河北省预决算公开操作规程实施细则&gt;</w:t>
      </w:r>
      <w:r>
        <w:rPr>
          <w:rFonts w:ascii="仿宋" w:hAnsi="仿宋" w:eastAsia="仿宋" w:cs="Times New Roman"/>
          <w:sz w:val="32"/>
          <w:szCs w:val="32"/>
        </w:rPr>
        <w:t>》</w:t>
      </w:r>
      <w:r>
        <w:rPr>
          <w:rFonts w:hint="eastAsia" w:ascii="仿宋" w:hAnsi="仿宋" w:eastAsia="仿宋" w:cs="Times New Roman"/>
          <w:sz w:val="32"/>
          <w:szCs w:val="32"/>
          <w:lang w:eastAsia="zh-CN"/>
        </w:rPr>
        <w:t>（冀财预</w:t>
      </w:r>
      <w:r>
        <w:rPr>
          <w:rFonts w:hint="eastAsia" w:ascii="仿宋" w:hAnsi="仿宋" w:eastAsia="仿宋" w:cs="Times New Roman"/>
          <w:sz w:val="32"/>
          <w:szCs w:val="32"/>
          <w:lang w:val="en-US" w:eastAsia="zh-CN"/>
        </w:rPr>
        <w:t>[2017]82号）</w:t>
      </w:r>
      <w:r>
        <w:rPr>
          <w:rFonts w:hint="eastAsia" w:ascii="仿宋" w:hAnsi="仿宋" w:eastAsia="仿宋" w:cs="Times New Roman"/>
          <w:sz w:val="32"/>
          <w:szCs w:val="32"/>
        </w:rPr>
        <w:t>规定</w:t>
      </w:r>
      <w:r>
        <w:rPr>
          <w:rFonts w:ascii="仿宋" w:hAnsi="仿宋" w:eastAsia="仿宋" w:cs="Times New Roman"/>
          <w:sz w:val="32"/>
          <w:szCs w:val="32"/>
        </w:rPr>
        <w:t>，现</w:t>
      </w:r>
      <w:r>
        <w:rPr>
          <w:rFonts w:hint="eastAsia" w:ascii="仿宋" w:hAnsi="仿宋" w:eastAsia="仿宋" w:cs="Times New Roman"/>
          <w:sz w:val="32"/>
          <w:szCs w:val="32"/>
        </w:rPr>
        <w:t>将</w:t>
      </w:r>
      <w:r>
        <w:rPr>
          <w:rFonts w:hint="eastAsia" w:ascii="仿宋" w:hAnsi="仿宋" w:eastAsia="仿宋" w:cs="Times New Roman"/>
          <w:sz w:val="32"/>
          <w:szCs w:val="32"/>
          <w:lang w:eastAsia="zh-CN"/>
        </w:rPr>
        <w:t>曲阳县委组织部</w:t>
      </w:r>
      <w:r>
        <w:rPr>
          <w:rFonts w:ascii="仿宋" w:hAnsi="仿宋" w:eastAsia="仿宋" w:cs="Times New Roman"/>
          <w:sz w:val="32"/>
          <w:szCs w:val="32"/>
        </w:rPr>
        <w:t>201</w:t>
      </w:r>
      <w:r>
        <w:rPr>
          <w:rFonts w:hint="eastAsia" w:ascii="仿宋" w:hAnsi="仿宋" w:eastAsia="仿宋" w:cs="Times New Roman"/>
          <w:sz w:val="32"/>
          <w:szCs w:val="32"/>
          <w:lang w:val="en-US" w:eastAsia="zh-CN"/>
        </w:rPr>
        <w:t>9</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560"/>
        <w:rPr>
          <w:rFonts w:ascii="仿宋" w:hAnsi="仿宋" w:eastAsia="仿宋"/>
          <w:sz w:val="32"/>
          <w:szCs w:val="32"/>
          <w:lang w:eastAsia="zh-CN"/>
        </w:rPr>
      </w:pPr>
      <w:r>
        <w:rPr>
          <w:rFonts w:ascii="仿宋" w:hAnsi="仿宋" w:eastAsia="仿宋"/>
          <w:sz w:val="32"/>
          <w:szCs w:val="32"/>
          <w:lang w:eastAsia="zh-CN"/>
        </w:rPr>
        <w:t>1</w:t>
      </w:r>
      <w:r>
        <w:rPr>
          <w:rFonts w:hint="eastAsia" w:ascii="仿宋" w:hAnsi="仿宋" w:eastAsia="仿宋"/>
          <w:sz w:val="32"/>
          <w:szCs w:val="32"/>
          <w:lang w:eastAsia="zh-CN"/>
        </w:rPr>
        <w:t>、指导全县党的基层组织建设，探索各类新的经济组织中党组织的设置和活动方式；协调、规划农村干部队伍建设，负责全县农村干部的教育培训；负责先进基层党组织和优秀共产党员、优秀党组织书记的推荐评选、表彰和奖励等工作；协调、规划和指导全县党员教育培训工作；主管党员的管理和发展工作；组织新时期党的建设的理论研究。</w:t>
      </w:r>
    </w:p>
    <w:p>
      <w:pPr>
        <w:ind w:firstLine="56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sz w:val="32"/>
          <w:szCs w:val="32"/>
          <w:lang w:eastAsia="zh-CN"/>
        </w:rPr>
        <w:t>、负责县委管理干部的考察和办理任免、工资、待遇、退（离）休审批手续；提出关于乡镇和县直部门以及其他列入县委管理的领导班子调整、配备的意见和建议；指导领导班子的思想作风建设；负责干部队伍宏观管理；负责全县干部信息管理、科级干部档案管理和党群口股级干部的备案和审查工作；承办部分干部的调配、交流和安置工作。</w:t>
      </w:r>
    </w:p>
    <w:p>
      <w:pPr>
        <w:ind w:firstLine="560"/>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sz w:val="32"/>
          <w:szCs w:val="32"/>
          <w:lang w:eastAsia="zh-CN"/>
        </w:rPr>
        <w:t>、研究拟订县委管理的领导班子和领导干部有关考核奖惩工作的政策、规定；负责全县党政领导班子和领导干部考核奖惩的具体工作；负责配合上级考核机关对我县的考核工作。</w:t>
      </w:r>
    </w:p>
    <w:p>
      <w:pPr>
        <w:ind w:firstLine="560"/>
        <w:rPr>
          <w:rFonts w:ascii="仿宋" w:hAnsi="仿宋" w:eastAsia="仿宋"/>
          <w:sz w:val="32"/>
          <w:szCs w:val="32"/>
          <w:lang w:eastAsia="zh-CN"/>
        </w:rPr>
      </w:pPr>
      <w:r>
        <w:rPr>
          <w:rFonts w:ascii="仿宋" w:hAnsi="仿宋" w:eastAsia="仿宋"/>
          <w:sz w:val="32"/>
          <w:szCs w:val="32"/>
          <w:lang w:eastAsia="zh-CN"/>
        </w:rPr>
        <w:t>4</w:t>
      </w:r>
      <w:r>
        <w:rPr>
          <w:rFonts w:hint="eastAsia" w:ascii="仿宋" w:hAnsi="仿宋" w:eastAsia="仿宋"/>
          <w:sz w:val="32"/>
          <w:szCs w:val="32"/>
          <w:lang w:eastAsia="zh-CN"/>
        </w:rPr>
        <w:t>、负责全县科、股级青年干部的培养教育和科级后备干部培养、选拔、考察工作；组织落实妇女干部、党外干部的培养、选拔、管理和推荐工作。</w:t>
      </w:r>
    </w:p>
    <w:p>
      <w:pPr>
        <w:ind w:firstLine="560"/>
        <w:rPr>
          <w:rFonts w:ascii="仿宋" w:hAnsi="仿宋" w:eastAsia="仿宋"/>
          <w:sz w:val="32"/>
          <w:szCs w:val="32"/>
          <w:lang w:eastAsia="zh-CN"/>
        </w:rPr>
      </w:pPr>
      <w:r>
        <w:rPr>
          <w:rFonts w:ascii="仿宋" w:hAnsi="仿宋" w:eastAsia="仿宋"/>
          <w:sz w:val="32"/>
          <w:szCs w:val="32"/>
          <w:lang w:eastAsia="zh-CN"/>
        </w:rPr>
        <w:t>5</w:t>
      </w:r>
      <w:r>
        <w:rPr>
          <w:rFonts w:hint="eastAsia" w:ascii="仿宋" w:hAnsi="仿宋" w:eastAsia="仿宋"/>
          <w:sz w:val="32"/>
          <w:szCs w:val="32"/>
          <w:lang w:eastAsia="zh-CN"/>
        </w:rPr>
        <w:t>、从宏观上研究和指导全县党的组织发展和干部人事制度改革；研究和制定全县组织、干部、人事工作的重要政策和制度。</w:t>
      </w:r>
    </w:p>
    <w:p>
      <w:pPr>
        <w:ind w:firstLine="640"/>
        <w:jc w:val="left"/>
        <w:outlineLvl w:val="0"/>
        <w:rPr>
          <w:rFonts w:hint="eastAsia" w:ascii="仿宋" w:hAnsi="仿宋" w:eastAsia="仿宋"/>
          <w:sz w:val="32"/>
          <w:szCs w:val="32"/>
          <w:lang w:eastAsia="zh-CN"/>
        </w:rPr>
      </w:pPr>
      <w:r>
        <w:rPr>
          <w:rFonts w:ascii="仿宋" w:hAnsi="仿宋" w:eastAsia="仿宋"/>
          <w:sz w:val="32"/>
          <w:szCs w:val="32"/>
          <w:lang w:eastAsia="zh-CN"/>
        </w:rPr>
        <w:t>6</w:t>
      </w:r>
      <w:r>
        <w:rPr>
          <w:rFonts w:hint="eastAsia" w:ascii="仿宋" w:hAnsi="仿宋" w:eastAsia="仿宋"/>
          <w:sz w:val="32"/>
          <w:szCs w:val="32"/>
          <w:lang w:eastAsia="zh-CN"/>
        </w:rPr>
        <w:t>、负责全县组织工作、干部工作、干部人事纪律、班子建设等方面的检查督促，及时向县委反情况，提出建议。</w:t>
      </w:r>
    </w:p>
    <w:p>
      <w:pPr>
        <w:ind w:firstLine="560"/>
        <w:rPr>
          <w:rFonts w:ascii="仿宋" w:hAnsi="仿宋" w:eastAsia="仿宋"/>
          <w:sz w:val="32"/>
          <w:szCs w:val="32"/>
          <w:lang w:eastAsia="zh-CN"/>
        </w:rPr>
      </w:pPr>
      <w:r>
        <w:rPr>
          <w:rFonts w:ascii="仿宋" w:hAnsi="仿宋" w:eastAsia="仿宋"/>
          <w:sz w:val="32"/>
          <w:szCs w:val="32"/>
          <w:lang w:eastAsia="zh-CN"/>
        </w:rPr>
        <w:t>7</w:t>
      </w:r>
      <w:r>
        <w:rPr>
          <w:rFonts w:hint="eastAsia" w:ascii="仿宋" w:hAnsi="仿宋" w:eastAsia="仿宋"/>
          <w:sz w:val="32"/>
          <w:szCs w:val="32"/>
          <w:lang w:eastAsia="zh-CN"/>
        </w:rPr>
        <w:t>、主管全县的干部教育工作，对全县干部教育工作进行宏观管理、指导和协调，制定干部教育工作规划和措施；负责组织县委管理的干部和中青年干部等进行理论进修、岗位职务培训和学历教育。</w:t>
      </w:r>
    </w:p>
    <w:p>
      <w:pPr>
        <w:ind w:firstLine="560"/>
        <w:rPr>
          <w:rFonts w:ascii="仿宋" w:hAnsi="仿宋" w:eastAsia="仿宋"/>
          <w:sz w:val="32"/>
          <w:szCs w:val="32"/>
          <w:lang w:eastAsia="zh-CN"/>
        </w:rPr>
      </w:pPr>
      <w:r>
        <w:rPr>
          <w:rFonts w:ascii="仿宋" w:hAnsi="仿宋" w:eastAsia="仿宋"/>
          <w:sz w:val="32"/>
          <w:szCs w:val="32"/>
          <w:lang w:eastAsia="zh-CN"/>
        </w:rPr>
        <w:t>8</w:t>
      </w:r>
      <w:r>
        <w:rPr>
          <w:rFonts w:hint="eastAsia" w:ascii="仿宋" w:hAnsi="仿宋" w:eastAsia="仿宋"/>
          <w:sz w:val="32"/>
          <w:szCs w:val="32"/>
          <w:lang w:eastAsia="zh-CN"/>
        </w:rPr>
        <w:t>、负责全县人才工作的综合协调、检查指导；督促检查知识分子政策的贯彻落实；制定知识分子工作的规划和措施；选拔、推荐省优秀专家和优秀知识分子，管理县级拔尖人才和专家服务团。</w:t>
      </w:r>
    </w:p>
    <w:p>
      <w:pPr>
        <w:ind w:firstLine="560"/>
        <w:rPr>
          <w:rFonts w:ascii="仿宋" w:hAnsi="仿宋" w:eastAsia="仿宋"/>
          <w:sz w:val="32"/>
          <w:szCs w:val="32"/>
          <w:lang w:eastAsia="zh-CN"/>
        </w:rPr>
      </w:pPr>
      <w:r>
        <w:rPr>
          <w:rFonts w:ascii="仿宋" w:hAnsi="仿宋" w:eastAsia="仿宋"/>
          <w:sz w:val="32"/>
          <w:szCs w:val="32"/>
          <w:lang w:eastAsia="zh-CN"/>
        </w:rPr>
        <w:t>9</w:t>
      </w:r>
      <w:r>
        <w:rPr>
          <w:rFonts w:hint="eastAsia" w:ascii="仿宋" w:hAnsi="仿宋" w:eastAsia="仿宋"/>
          <w:sz w:val="32"/>
          <w:szCs w:val="32"/>
          <w:lang w:eastAsia="zh-CN"/>
        </w:rPr>
        <w:t>、负责县委老干部局工作和全县老干部工作的宏观管理、指导和协调；督促检查老干部政策的贯彻落实；指导全县老干部关心下一代工作的开展。</w:t>
      </w:r>
    </w:p>
    <w:p>
      <w:pPr>
        <w:ind w:firstLine="560"/>
        <w:rPr>
          <w:rFonts w:ascii="仿宋" w:hAnsi="仿宋" w:eastAsia="仿宋"/>
          <w:sz w:val="32"/>
          <w:szCs w:val="32"/>
          <w:lang w:eastAsia="zh-CN"/>
        </w:rPr>
      </w:pPr>
      <w:r>
        <w:rPr>
          <w:rFonts w:ascii="仿宋" w:hAnsi="仿宋" w:eastAsia="仿宋"/>
          <w:sz w:val="32"/>
          <w:szCs w:val="32"/>
          <w:lang w:eastAsia="zh-CN"/>
        </w:rPr>
        <w:t>10</w:t>
      </w:r>
      <w:r>
        <w:rPr>
          <w:rFonts w:hint="eastAsia" w:ascii="仿宋" w:hAnsi="仿宋" w:eastAsia="仿宋"/>
          <w:sz w:val="32"/>
          <w:szCs w:val="32"/>
          <w:lang w:eastAsia="zh-CN"/>
        </w:rPr>
        <w:t>、负责全县援藏、援疆、援坝干部的选派和管理工作。</w:t>
      </w:r>
    </w:p>
    <w:p>
      <w:pPr>
        <w:ind w:firstLine="560"/>
        <w:rPr>
          <w:rFonts w:ascii="仿宋" w:hAnsi="仿宋" w:eastAsia="仿宋"/>
          <w:sz w:val="32"/>
          <w:szCs w:val="32"/>
          <w:lang w:eastAsia="zh-CN"/>
        </w:rPr>
      </w:pPr>
      <w:r>
        <w:rPr>
          <w:rFonts w:ascii="仿宋" w:hAnsi="仿宋" w:eastAsia="仿宋"/>
          <w:sz w:val="32"/>
          <w:szCs w:val="32"/>
          <w:lang w:eastAsia="zh-CN"/>
        </w:rPr>
        <w:t>11</w:t>
      </w:r>
      <w:r>
        <w:rPr>
          <w:rFonts w:hint="eastAsia" w:ascii="仿宋" w:hAnsi="仿宋" w:eastAsia="仿宋"/>
          <w:sz w:val="32"/>
          <w:szCs w:val="32"/>
          <w:lang w:eastAsia="zh-CN"/>
        </w:rPr>
        <w:t>、完成县委交办的其他任务。</w:t>
      </w:r>
    </w:p>
    <w:p>
      <w:pPr>
        <w:ind w:firstLine="640"/>
        <w:jc w:val="left"/>
        <w:outlineLvl w:val="0"/>
        <w:rPr>
          <w:rFonts w:hint="eastAsia" w:ascii="仿宋" w:hAnsi="仿宋" w:eastAsia="仿宋"/>
          <w:sz w:val="32"/>
          <w:szCs w:val="32"/>
          <w:lang w:eastAsia="zh-CN"/>
        </w:rPr>
      </w:pPr>
    </w:p>
    <w:p>
      <w:pPr>
        <w:ind w:firstLine="640"/>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jc w:val="center"/>
              <w:rPr>
                <w:rFonts w:ascii="Times New Roman" w:hAnsi="Times New Roman" w:eastAsia="方正书宋_GBK" w:cs="Times New Roman"/>
                <w:szCs w:val="24"/>
              </w:rPr>
            </w:pPr>
            <w:r>
              <w:rPr>
                <w:rFonts w:hint="eastAsia" w:ascii="宋体" w:hAnsi="宋体" w:cs="宋体"/>
                <w:color w:val="000000"/>
                <w:lang w:eastAsia="zh-CN"/>
              </w:rPr>
              <w:t>中共曲阳中共曲阳县委组织部</w:t>
            </w:r>
          </w:p>
        </w:tc>
        <w:tc>
          <w:tcPr>
            <w:tcW w:w="1134" w:type="dxa"/>
            <w:vAlign w:val="center"/>
          </w:tcPr>
          <w:p>
            <w:pPr>
              <w:jc w:val="center"/>
              <w:rPr>
                <w:rFonts w:ascii="Times New Roman" w:hAnsi="Times New Roman" w:eastAsia="方正书宋_GBK" w:cs="Times New Roman"/>
                <w:szCs w:val="24"/>
              </w:rPr>
            </w:pPr>
            <w:r>
              <w:rPr>
                <w:rFonts w:hint="eastAsia" w:ascii="宋体" w:hAnsi="宋体" w:cs="宋体"/>
                <w:color w:val="000000"/>
              </w:rPr>
              <w:t>行政</w:t>
            </w:r>
          </w:p>
        </w:tc>
        <w:tc>
          <w:tcPr>
            <w:tcW w:w="1276" w:type="dxa"/>
            <w:vAlign w:val="center"/>
          </w:tcPr>
          <w:p>
            <w:pPr>
              <w:jc w:val="center"/>
              <w:rPr>
                <w:rFonts w:ascii="Times New Roman" w:hAnsi="Times New Roman" w:eastAsia="方正书宋_GBK" w:cs="Times New Roman"/>
                <w:szCs w:val="24"/>
              </w:rPr>
            </w:pPr>
            <w:r>
              <w:rPr>
                <w:rFonts w:hint="eastAsia" w:ascii="宋体" w:hAnsi="宋体" w:cs="宋体"/>
                <w:color w:val="000000"/>
              </w:rPr>
              <w:t>正科级</w:t>
            </w:r>
          </w:p>
        </w:tc>
        <w:tc>
          <w:tcPr>
            <w:tcW w:w="2902" w:type="dxa"/>
            <w:vAlign w:val="center"/>
          </w:tcPr>
          <w:p>
            <w:pPr>
              <w:jc w:val="center"/>
              <w:rPr>
                <w:rFonts w:ascii="Times New Roman" w:hAnsi="Times New Roman" w:eastAsia="方正书宋_GBK" w:cs="Times New Roman"/>
                <w:szCs w:val="24"/>
              </w:rPr>
            </w:pPr>
            <w:r>
              <w:rPr>
                <w:rFonts w:hint="eastAsia" w:ascii="宋体" w:hAnsi="宋体" w:cs="宋体"/>
                <w:color w:val="00000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ind w:firstLine="315" w:firstLineChars="150"/>
              <w:jc w:val="center"/>
              <w:rPr>
                <w:rFonts w:ascii="Times New Roman" w:hAnsi="Times New Roman" w:eastAsia="方正书宋_GBK" w:cs="Times New Roman"/>
                <w:szCs w:val="24"/>
              </w:rPr>
            </w:pPr>
            <w:r>
              <w:rPr>
                <w:rFonts w:hint="eastAsia" w:ascii="宋体" w:hAnsi="宋体" w:cs="宋体"/>
                <w:color w:val="000000"/>
              </w:rPr>
              <w:t>县委联系办</w:t>
            </w:r>
          </w:p>
        </w:tc>
        <w:tc>
          <w:tcPr>
            <w:tcW w:w="1134" w:type="dxa"/>
            <w:vAlign w:val="center"/>
          </w:tcPr>
          <w:p>
            <w:pPr>
              <w:jc w:val="center"/>
              <w:rPr>
                <w:rFonts w:ascii="Times New Roman" w:hAnsi="Times New Roman" w:eastAsia="方正书宋_GBK" w:cs="Times New Roman"/>
                <w:szCs w:val="24"/>
              </w:rPr>
            </w:pPr>
            <w:r>
              <w:rPr>
                <w:rFonts w:hint="eastAsia" w:ascii="宋体" w:hAnsi="宋体" w:cs="宋体"/>
                <w:color w:val="000000"/>
              </w:rPr>
              <w:t>事业</w:t>
            </w:r>
          </w:p>
        </w:tc>
        <w:tc>
          <w:tcPr>
            <w:tcW w:w="1276" w:type="dxa"/>
            <w:vAlign w:val="center"/>
          </w:tcPr>
          <w:p>
            <w:pPr>
              <w:jc w:val="center"/>
              <w:rPr>
                <w:rFonts w:ascii="Times New Roman" w:hAnsi="Times New Roman" w:eastAsia="方正书宋_GBK" w:cs="Times New Roman"/>
                <w:szCs w:val="24"/>
              </w:rPr>
            </w:pPr>
            <w:r>
              <w:rPr>
                <w:rFonts w:hint="eastAsia" w:ascii="宋体" w:hAnsi="宋体" w:cs="宋体"/>
                <w:color w:val="000000"/>
              </w:rPr>
              <w:t>正科级</w:t>
            </w:r>
          </w:p>
        </w:tc>
        <w:tc>
          <w:tcPr>
            <w:tcW w:w="2902" w:type="dxa"/>
            <w:vAlign w:val="center"/>
          </w:tcPr>
          <w:p>
            <w:pPr>
              <w:jc w:val="center"/>
              <w:rPr>
                <w:rFonts w:ascii="Times New Roman" w:hAnsi="Times New Roman" w:eastAsia="方正书宋_GBK" w:cs="Times New Roman"/>
                <w:szCs w:val="24"/>
              </w:rPr>
            </w:pPr>
            <w:r>
              <w:rPr>
                <w:rFonts w:hint="eastAsia" w:ascii="宋体" w:hAnsi="宋体" w:cs="宋体"/>
                <w:color w:val="000000"/>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按照预算管理有关规定，目前我部门预算的编制实行综合预算制度，即全部收入和支出都反映</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预算中。</w:t>
      </w:r>
      <w:r>
        <w:rPr>
          <w:rFonts w:hint="eastAsia" w:ascii="Times New Roman" w:hAnsi="Times New Roman" w:eastAsia="仿宋" w:cs="Times New Roman"/>
          <w:sz w:val="32"/>
          <w:szCs w:val="32"/>
          <w:lang w:eastAsia="zh-CN"/>
        </w:rPr>
        <w:t>曲阳县委组织部</w:t>
      </w:r>
      <w:r>
        <w:rPr>
          <w:rFonts w:ascii="Times New Roman" w:hAnsi="Times New Roman" w:eastAsia="仿宋" w:cs="Times New Roman"/>
          <w:sz w:val="32"/>
          <w:szCs w:val="32"/>
        </w:rPr>
        <w:t>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年预算收入598.95万元，其中：一般公共预算收入598.95万元，基金预算收入0万元，财政专户核拨收入0万元，其他来源收入0万元。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曲阳县委组织部</w:t>
      </w:r>
      <w:r>
        <w:rPr>
          <w:rFonts w:hint="eastAsia" w:ascii="Times New Roman" w:hAnsi="Times New Roman" w:eastAsia="仿宋" w:cs="Times New Roman"/>
          <w:sz w:val="32"/>
          <w:szCs w:val="32"/>
        </w:rPr>
        <w:t>年度部门预算中支出预算的总体情况。201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部门支出预算为598.95万元，其中基本支出163.82万元，包括人员经费139.92万元和日常公用经费23.9万元；项目支出435.13万元，主要为组织事务支出216.26万元，其他优抚支出188.67万元，对高校毕业生到基层任职补助支出</w:t>
      </w:r>
      <w:r>
        <w:rPr>
          <w:rFonts w:hint="eastAsia" w:ascii="Times New Roman" w:hAnsi="Times New Roman" w:eastAsia="仿宋" w:cs="Times New Roman"/>
          <w:sz w:val="32"/>
          <w:szCs w:val="32"/>
          <w:lang w:val="en-US" w:eastAsia="zh-CN"/>
        </w:rPr>
        <w:t>0.5</w:t>
      </w:r>
      <w:r>
        <w:rPr>
          <w:rFonts w:hint="eastAsia" w:ascii="Times New Roman" w:hAnsi="Times New Roman" w:eastAsia="仿宋" w:cs="Times New Roman"/>
          <w:sz w:val="32"/>
          <w:szCs w:val="32"/>
        </w:rPr>
        <w:t>万元，其他农业支出2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万元，其他扶贫支出</w:t>
      </w:r>
      <w:r>
        <w:rPr>
          <w:rFonts w:hint="eastAsia" w:ascii="Times New Roman" w:hAnsi="Times New Roman" w:eastAsia="仿宋" w:cs="Times New Roman"/>
          <w:sz w:val="32"/>
          <w:szCs w:val="32"/>
          <w:lang w:val="en-US" w:eastAsia="zh-CN"/>
        </w:rPr>
        <w:t>4.7</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年，部门预算收支安排598.95万元，较201</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47.39</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46.41</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退休</w:t>
      </w:r>
      <w:r>
        <w:rPr>
          <w:rFonts w:hint="eastAsia" w:ascii="Times New Roman" w:hAnsi="Times New Roman" w:eastAsia="仿宋" w:cs="Times New Roman"/>
          <w:sz w:val="32"/>
          <w:szCs w:val="32"/>
          <w:lang w:val="en-US" w:eastAsia="zh-CN"/>
        </w:rPr>
        <w:t>2人</w:t>
      </w:r>
      <w:r>
        <w:rPr>
          <w:rFonts w:hint="eastAsia" w:ascii="Times New Roman" w:hAnsi="Times New Roman" w:eastAsia="仿宋" w:cs="Times New Roman"/>
          <w:sz w:val="32"/>
          <w:szCs w:val="32"/>
          <w:lang w:eastAsia="zh-CN"/>
        </w:rPr>
        <w:t>、调出</w:t>
      </w:r>
      <w:r>
        <w:rPr>
          <w:rFonts w:hint="eastAsia" w:ascii="Times New Roman" w:hAnsi="Times New Roman" w:eastAsia="仿宋" w:cs="Times New Roman"/>
          <w:sz w:val="32"/>
          <w:szCs w:val="32"/>
          <w:lang w:val="en-US" w:eastAsia="zh-CN"/>
        </w:rPr>
        <w:t>3人</w:t>
      </w:r>
      <w:r>
        <w:rPr>
          <w:rFonts w:hint="eastAsia" w:ascii="Times New Roman" w:hAnsi="Times New Roman" w:eastAsia="仿宋" w:cs="Times New Roman"/>
          <w:sz w:val="32"/>
          <w:szCs w:val="32"/>
          <w:lang w:eastAsia="zh-CN"/>
        </w:rPr>
        <w:t>，基本支出人员</w:t>
      </w:r>
      <w:r>
        <w:rPr>
          <w:rFonts w:hint="eastAsia" w:ascii="Times New Roman" w:hAnsi="Times New Roman" w:eastAsia="仿宋" w:cs="Times New Roman"/>
          <w:sz w:val="32"/>
          <w:szCs w:val="32"/>
        </w:rPr>
        <w:t>经费</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rPr>
        <w:t>；项目支出</w:t>
      </w:r>
      <w:r>
        <w:rPr>
          <w:rFonts w:hint="eastAsia" w:ascii="Times New Roman" w:hAnsi="Times New Roman" w:eastAsia="仿宋" w:cs="Times New Roman"/>
          <w:sz w:val="32"/>
          <w:szCs w:val="32"/>
          <w:lang w:eastAsia="zh-CN"/>
        </w:rPr>
        <w:t>减少</w:t>
      </w:r>
      <w:r>
        <w:rPr>
          <w:rFonts w:hint="eastAsia" w:ascii="Times New Roman" w:hAnsi="Times New Roman" w:eastAsia="仿宋" w:cs="Times New Roman"/>
          <w:sz w:val="32"/>
          <w:szCs w:val="32"/>
          <w:lang w:val="en-US" w:eastAsia="zh-CN"/>
        </w:rPr>
        <w:t>0.98</w:t>
      </w:r>
      <w:r>
        <w:rPr>
          <w:rFonts w:hint="eastAsia" w:ascii="Times New Roman" w:hAnsi="Times New Roman" w:eastAsia="仿宋" w:cs="Times New Roman"/>
          <w:sz w:val="32"/>
          <w:szCs w:val="32"/>
        </w:rPr>
        <w:t>万元，主要是</w:t>
      </w:r>
      <w:r>
        <w:rPr>
          <w:rFonts w:hint="eastAsia" w:ascii="Times New Roman" w:hAnsi="Times New Roman" w:eastAsia="仿宋" w:cs="Times New Roman"/>
          <w:sz w:val="32"/>
          <w:szCs w:val="32"/>
          <w:lang w:eastAsia="zh-CN"/>
        </w:rPr>
        <w:t>建国前老党员补贴经费减少。</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年，我部门机关运行经费共计安排23.9</w:t>
      </w:r>
      <w:r>
        <w:rPr>
          <w:rFonts w:hint="eastAsia" w:ascii="Times New Roman" w:hAnsi="Times New Roman" w:eastAsia="仿宋" w:cs="Times New Roman"/>
          <w:sz w:val="32"/>
          <w:szCs w:val="32"/>
          <w:lang w:eastAsia="zh-CN"/>
        </w:rPr>
        <w:t>万</w:t>
      </w:r>
      <w:r>
        <w:rPr>
          <w:rFonts w:hint="eastAsia" w:ascii="Times New Roman" w:hAnsi="Times New Roman" w:eastAsia="仿宋" w:cs="Times New Roman"/>
          <w:sz w:val="32"/>
          <w:szCs w:val="32"/>
        </w:rPr>
        <w:t>元，主要用于保证机关正常运转的办公费、邮电费、差旅费、福利费、</w:t>
      </w:r>
      <w:r>
        <w:rPr>
          <w:rFonts w:hint="eastAsia" w:ascii="Times New Roman" w:hAnsi="Times New Roman" w:eastAsia="仿宋" w:cs="Times New Roman"/>
          <w:sz w:val="32"/>
          <w:szCs w:val="32"/>
          <w:lang w:eastAsia="zh-CN"/>
        </w:rPr>
        <w:t>网络</w:t>
      </w:r>
      <w:r>
        <w:rPr>
          <w:rFonts w:hint="eastAsia" w:ascii="Times New Roman" w:hAnsi="Times New Roman" w:eastAsia="仿宋" w:cs="Times New Roman"/>
          <w:sz w:val="32"/>
          <w:szCs w:val="32"/>
        </w:rPr>
        <w:t>费、</w:t>
      </w:r>
      <w:r>
        <w:rPr>
          <w:rFonts w:hint="eastAsia" w:ascii="Times New Roman" w:hAnsi="Times New Roman" w:eastAsia="仿宋" w:cs="Times New Roman"/>
          <w:sz w:val="32"/>
          <w:szCs w:val="32"/>
          <w:lang w:eastAsia="zh-CN"/>
        </w:rPr>
        <w:t>其他交通补贴</w:t>
      </w:r>
      <w:r>
        <w:rPr>
          <w:rFonts w:hint="eastAsia" w:ascii="Times New Roman" w:hAnsi="Times New Roman" w:eastAsia="仿宋" w:cs="Times New Roman"/>
          <w:sz w:val="32"/>
          <w:szCs w:val="32"/>
        </w:rPr>
        <w:t>、公务车运行维护费等支出。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年，（我部门）财政拨款“三公”经费预算安排</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万元（其中：公务用车运行维护费</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万元，公务用车购置费0万元)；公务接待费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2019年，县委组织部将以党的十九大精神为指引，按照省委九届七次全会、市委十一届五次全会、县委十三届四次全会安排部署，结合曲阳实际，在组织工作上谋求新突破、新进展、新提升、新局面，服务曲阳县社会经济转型跨越发展，为全力打造“两都两地”，奋力开启新时代全面建设经济强县美丽曲阳新征程提供坚强组织保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是在党员队伍建设上谋求新突破。紧紧围绕党的中心任务，持续强力推进“两学一做”学习教育深入开展，创新培训理念、方式，组织引导全县党员干部中深入学习贯彻落实党的十九大精神；建立详细登记流动党员的基本情况的流动党员信息库，并印发党员明白卡，解决流动党员管理难问题；按照“控制总量、优化结构、提高质量、发挥作用”的总要求，突出标准的严肃性，强化发展党员标准和程序；在规范提升、辐射带动、发挥作用上下功夫，打造示范“亮点工程”，以点带面，提升全县非公企业和社会组织党建工作的整体上水平。</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是在干部队伍建设上取得新进展。认真贯彻好干部标准，坚持“三重三看”用人原则，把政治过硬作为“高素质”的第一位要求，加强干部“政治体检”，结合机构改革和整改落实巡视反馈意见，选优配强领导班子。在乡镇领导班子换届和近年县直单位干部调整的基础上，结合脱贫攻坚、年度考核、民主生活会、机构改革以及纪检监察、信访等方面情况，对领导班子和干部队伍进行综合分析研判。贯彻落实省委办公厅、省政府办公厅《关于进一步关心关爱干部职工的通知》、县委《激励全县干部担当作为履职尽责的意见》等文件规定，既要对干部职工严格管理又要关心关爱，更好激发广大干部职工主动性、积极性、创造性。</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是基层组织建设上得到新提升。以提升组织力为重点，继续推行农村党建指导员制度，切实把企业、农村、机关、学校等基层党组织建设成为宣传党的主张、贯彻党的决定、领导基层治理、团结动员群众、推动改革发展的坚强战斗堡垒，不断强化基层组织的政治功能。做好换届后续工作，督促各村健全工会、共青团、妇联等配套组织，建立后备人才库，完善农村基层治理体系。推行“三力三治”乡村治理模式,对农村干部实行“三单管理”，对农村党员和村民代表实行“三责管理”，推行“1421”村务运行机制，规范村务运行，提高村级党组织的凝聚力和战斗力。重点打造3条党建示范带和2个党建示范乡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是人才队伍建设上打开新局面。加强党委对人才工作的统一领导。实施人才工作“一把手”工程，把人才工作纳入本级党委党建工作述职和年度考核的重要内容。建立专家大师培养机制。认真研究各类有较高含金量荣誉的评选条件，并汇编成册，结合现有人才技能特点，精准发力，提高推荐成功率。继续加强专业技术人才队伍建设。制定关于加强基层专业技术人才队伍建设的实施意见。继续推进高技能人才培训基地、技能大师工作室建设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是重点工作督查上取得新成果。将大督查作为2019年推动工作落实的重要抓手。安排各督查组对各乡镇、县直各部门进行大力度、高频率的重点工作督查。强化督查结果运用，围绕各项重点工作，倒排落后典型，对重点工作不落实问题较为严重的，进行严肃问责；把重点工作督查落实情况，作为县委、县政府对乡镇和县直部门领导班子和领导干部年度综合考核的重要依据。继续做好与市督查组的沟通联系工作，认真听取市督查组的意见建议，第一时间将问题整改、落实到位。</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是机关自身建设上展现新形象。围绕县委中心工作，以在对党绝对忠诚、严格自律、提升专业能力、推动落实上作出表率为标准，积极探索，大胆创新，围绕建设“讲政治、重公道、业务精、作风好”的模范部门目标，强化思想、作风和廉政建设，抓部机关全体干部的教育和培养，实施组工干部素质提升工程，全面提高组工干部的能力素质；着眼于提高组织部门科学化和规范化管理，进一步完善组织部工作运行机制，积极推进工作的创新，全面提高全县组织工作的整体水平。</w:t>
      </w:r>
    </w:p>
    <w:p>
      <w:pPr>
        <w:autoSpaceDE w:val="0"/>
        <w:autoSpaceDN w:val="0"/>
        <w:adjustRightInd w:val="0"/>
        <w:ind w:left="198" w:firstLine="640" w:firstLineChars="200"/>
        <w:jc w:val="left"/>
        <w:rPr>
          <w:rFonts w:hint="eastAsia" w:ascii="Times New Roman" w:hAnsi="Times New Roman" w:eastAsia="仿宋" w:cs="Times New Roman"/>
          <w:sz w:val="32"/>
          <w:szCs w:val="32"/>
        </w:rPr>
      </w:pP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联系办</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一、充分发挥协调、联系的职能，落实农村基层组织建设工作，配合完成加强基层建设年活动。</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二、协调配合做好党员队伍建设，积极配合组织员办公室完成国有企业、非公有制企业党的建设工作，对已建立的非公有制企业党支部进行监督、指导，对发展中的非公有制企业党支部进行审核。</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三、研究基层组织建设政策精神，谋划切合我县实际的基层组织建设相关文件，总结具有我县特色的基层组织建设工作经验和成果。</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2019年，县委组织部将以党的十九大精神为指引，按照省委九届七次全会、市委十一届五次全会、县委十三届四次全会安排部署，结合曲阳实际，在组织工作上谋求新突破、新进展、新提升、新局面，服务曲阳县社会经济转型跨越发展，为全力打造“两都两地”，奋力开启新时代全面建设经济强县美丽曲阳新征程提供坚强组织保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(1)党员和党组织建设</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党组织建设及党员教育管理。2019年计划开展基层党建经常性调研指导和督导检查，组织召开不少于五次的基层党建推进会、调度会、观摩会，积极开展全县基层党建主题活动，推进乡村为民服务全程代办升级，加强党建精品村培树和后进村转化工作，全县基层党建提升水平达到90%。继续在全县367个农村开展党员干部现代远程教育终端站点维护项目，推动全县电化教育学用工作扎实开展，提升基层党员干部队伍素质，实现农村党员接受远程教育的比率达到90%以上。为全县50名大学生村官缴纳人身意外伤害商业保险，保障大学生村官待遇落实，激励工作，实现百分之百为大学生村官缴纳意外伤害保险。计划对全县2018年500余名新发展党员、积极分子进行教育培训，实现培训覆盖率85%以上，提高其服务群众、服务基层的素质和能力。通过对对全县农村党组织书记、村主任和其他“两委”干部采取集中办班、参观考察、挂职锻炼、典型交流、学历教育等多种形式，提高其服务群众的素质和能力。通过实施“党内关爱资金”项目，来帮扶生活困难党员，关爱为党和人民事业做出牺牲和奉献的优秀党员，提高其生活水平和质量，体现党和国家对他们的关怀和关爱。通过对建国前入党的农村老党员和未享受离退休待遇的城镇老党员发放生活补贴，使补贴发放率达到百分子百，使享受补贴的老党员的生活水平和质量有所提高。通过实施“现代远程教育课件拍摄经费”项目，计划拍摄2部宣传片，通过宣传片的拍摄，能更好的发挥远程教育在推进党的建设、推动基层各项事业发展、促进农民致富方面的作用，满足广大干部群众的学习需求。</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(2)干部管理</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干部队伍管理。2019年继续对全县领导班子和领导干部进行不定期的督导考核，完成县管领导班子和领导干部年度综合考核评价工作，加强干部调研。通过开展公务员管理系统维护费项目，对公务员管理系统进行日常维护，提高全县公务员管理的科学化水平。通过开展干部人事档案维护工作，保障干部档案工作科学的保管。计划在2019年对全县700余名副科级以上干部合336名驻村扶贫干部进行体检，使体检覆盖率达到100%，通过该项目的实施，提高全县领导干部的身体素质，保证各级领导干部以良好的精神面貌和强健的体魄焕发最佳的精神状态，提高全县领导干部的工作水平。通过“贫困村驻村干部意外险”项目的实施，保障驻村干部待遇落实，为驻村工作队开展工作和人身安全提供基本保障。计划实施扶贫驻村干部管理项目，按上级要求召开扶贫工作调度会两次、培训会一次，统一印制工作队公示牌、工作日志、工作手册等资料，对工作队实施科学管理。通过科级干部培训项目的实施，提高我县的科级干部整体素质和水平，为奋力开启新时代全面建设经济强县美丽曲阳新征程提供坚强组织保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(3)全县人才工作及队伍建设</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全县人才工作及队伍建设活动。通过人才发展项目的实施，用于培训我县雕塑行业高端人才，促使企业规模扩大，并对专业技术人才、创意研发工作进行奖励，树立雕塑行业领军人物，积极推进产品创新能力提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(4)组织事务管理</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综合事务管理。计划实施大组工网运行维护项目，用于大组工网机房和设备等进行严格的日常维护，保证大组工网的正常运行，使系统故障率降低到10%。通过“四清”借干人员维稳项目实施，用于对生活生产困难的老党员、老干部发放补助金，落实党内关怀政策，使补助金发放率达到100%，对其群体有效稳控，保障社会和谐。</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p>
      <w:pPr>
        <w:jc w:val="center"/>
        <w:outlineLvl w:val="0"/>
        <w:rPr>
          <w:rFonts w:ascii="方正小标宋_GBK" w:hAnsi="Times New Roman" w:eastAsia="方正小标宋_GBK" w:cs="Times New Roman"/>
          <w:sz w:val="32"/>
          <w:szCs w:val="24"/>
        </w:rPr>
      </w:pPr>
    </w:p>
    <w:p>
      <w:pPr>
        <w:jc w:val="center"/>
        <w:outlineLvl w:val="0"/>
        <w:rPr>
          <w:rFonts w:hint="eastAsia" w:ascii="方正小标宋_GBK" w:eastAsia="方正小标宋_GBK"/>
          <w:sz w:val="32"/>
        </w:rPr>
      </w:pPr>
      <w:bookmarkStart w:id="1" w:name="_Toc503971524"/>
    </w:p>
    <w:p>
      <w:pPr>
        <w:jc w:val="center"/>
        <w:outlineLvl w:val="0"/>
        <w:rPr>
          <w:rFonts w:hint="eastAsia" w:ascii="方正小标宋_GBK" w:eastAsia="方正小标宋_GBK"/>
          <w:sz w:val="32"/>
        </w:rPr>
      </w:pPr>
      <w:r>
        <w:rPr>
          <w:rFonts w:hint="eastAsia" w:ascii="方正小标宋_GBK" w:eastAsia="方正小标宋_GBK"/>
          <w:sz w:val="32"/>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中共曲阳县委组织部</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326.55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负责全县党组织建设；负责县委基层组织建设</w:t>
            </w:r>
            <w:r>
              <w:rPr>
                <w:rFonts w:hint="eastAsia" w:ascii="方正书宋_GBK" w:eastAsia="方正书宋_GBK"/>
                <w:lang w:eastAsia="zh-CN"/>
              </w:rPr>
              <w:t>联席</w:t>
            </w:r>
            <w:r>
              <w:rPr>
                <w:rFonts w:hint="eastAsia" w:ascii="方正书宋_GBK" w:eastAsia="方正书宋_GBK"/>
              </w:rPr>
              <w:t>会议党的牵头抓总工作；研究和提出党内生活制度建设的意见；协调、规划和指导全县党员教育工作；主管党员的管理和发展工作</w:t>
            </w:r>
            <w:r>
              <w:rPr>
                <w:rFonts w:ascii="方正书宋_GBK" w:eastAsia="方正书宋_GBK"/>
              </w:rPr>
              <w:t>,</w:t>
            </w:r>
            <w:r>
              <w:rPr>
                <w:rFonts w:hint="eastAsia" w:ascii="方正书宋_GBK" w:eastAsia="方正书宋_GBK"/>
              </w:rPr>
              <w:t>以及</w:t>
            </w:r>
            <w:r>
              <w:rPr>
                <w:rFonts w:ascii="方正书宋_GBK" w:eastAsia="方正书宋_GBK"/>
              </w:rPr>
              <w:t>"</w:t>
            </w:r>
            <w:r>
              <w:rPr>
                <w:rFonts w:hint="eastAsia" w:ascii="方正书宋_GBK" w:eastAsia="方正书宋_GBK"/>
              </w:rPr>
              <w:t>两学一做</w:t>
            </w:r>
            <w:r>
              <w:rPr>
                <w:rFonts w:ascii="方正书宋_GBK" w:eastAsia="方正书宋_GBK"/>
              </w:rPr>
              <w:t>"</w:t>
            </w:r>
            <w:r>
              <w:rPr>
                <w:rFonts w:hint="eastAsia" w:ascii="方正书宋_GBK" w:eastAsia="方正书宋_GBK"/>
              </w:rPr>
              <w:t>学习教育常态化机制。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、党组织建设及党员教育管理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326.55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负责全县党组织建设；负责县委非公经济社会组织和县委基层组织建设</w:t>
            </w:r>
            <w:r>
              <w:rPr>
                <w:rFonts w:hint="eastAsia" w:ascii="方正书宋_GBK" w:eastAsia="方正书宋_GBK"/>
                <w:lang w:eastAsia="zh-CN"/>
              </w:rPr>
              <w:t>联席</w:t>
            </w:r>
            <w:r>
              <w:rPr>
                <w:rFonts w:hint="eastAsia" w:ascii="方正书宋_GBK" w:eastAsia="方正书宋_GBK"/>
              </w:rPr>
              <w:t>会议党的牵头抓总工作；研究和提出党内生活制度建设的意见；协调、规划和指导全县党员教育工作。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非公经济组织和社会组织党的组织和工作覆盖率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大学生村官到岗率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大学生村官待遇和保障政策落实率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农村党组织换届工作完成率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确保全县基层电化教育站点正常运行率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党员现代远程教育课时量完成情况（部</w:t>
            </w:r>
            <w:r>
              <w:rPr>
                <w:rFonts w:ascii="方正书宋_GBK" w:eastAsia="方正书宋_GBK"/>
              </w:rPr>
              <w:t>/</w:t>
            </w:r>
            <w:r>
              <w:rPr>
                <w:rFonts w:hint="eastAsia" w:ascii="方正书宋_GBK" w:eastAsia="方正书宋_GBK"/>
              </w:rPr>
              <w:t>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组织开展各种专题培训党员覆盖率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农村干部参训率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二、干部管理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88.30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换届工作；选优配强各级领导班子；负责省市管理干部及全县干部队伍管理、干部培养选拔、干部调配、挂职、交流和安置以及对干部关爱；对县委管理领导班子和领导干部的考核工作，以及全县干部考核工作的督导检查；指导领导班子的思想作风建设；负责对全</w:t>
            </w:r>
            <w:r>
              <w:rPr>
                <w:rFonts w:hint="eastAsia" w:ascii="方正书宋_GBK" w:eastAsia="方正书宋_GBK"/>
                <w:lang w:eastAsia="zh-CN"/>
              </w:rPr>
              <w:t>县委组织部</w:t>
            </w:r>
            <w:r>
              <w:rPr>
                <w:rFonts w:hint="eastAsia" w:ascii="方正书宋_GBK" w:eastAsia="方正书宋_GBK"/>
              </w:rPr>
              <w:t>门干部监督工作的综合、协调；负责对扶贫驻村工作队的管理。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、省市及县委管理干部管理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配合省</w:t>
            </w:r>
            <w:r>
              <w:rPr>
                <w:rFonts w:hint="eastAsia" w:ascii="方正书宋_GBK" w:eastAsia="方正书宋_GBK"/>
                <w:lang w:eastAsia="zh-CN"/>
              </w:rPr>
              <w:t>市委组织部</w:t>
            </w:r>
            <w:r>
              <w:rPr>
                <w:rFonts w:hint="eastAsia" w:ascii="方正书宋_GBK" w:eastAsia="方正书宋_GBK"/>
              </w:rPr>
              <w:t>做好干部任职考察；做好乡镇领导班子换届工作；负责县委管理干部的考察和办理任免、工资、待遇、退（离）休审批手续；参与研究全县干部工资政策和县管干部离退休待遇政策；落实省市管理干部工资、审批县管干部工资及退休费。</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落实好省市、县管干部相关待遇政策；研究制定换届政策和文件，组织全县换届工作会议，认真组织换届考察工作，提出乡镇班子换届人事安排方案，指导乡镇进行换届选举。</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省市、县管干部规范管理率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乡镇领导班子组织换届率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省市、县管干部个人待遇政策落实率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、干部队伍管理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78.30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负责组织对全县干部考核工作的指导和督导检查</w:t>
            </w:r>
            <w:r>
              <w:rPr>
                <w:rFonts w:ascii="方正书宋_GBK" w:eastAsia="方正书宋_GBK"/>
              </w:rPr>
              <w:t>,</w:t>
            </w:r>
            <w:r>
              <w:rPr>
                <w:rFonts w:hint="eastAsia" w:ascii="方正书宋_GBK" w:eastAsia="方正书宋_GBK"/>
              </w:rPr>
              <w:t>组织实施县委管理领导班子和领导干部的年度综合考核评价工作；负责对全</w:t>
            </w:r>
            <w:r>
              <w:rPr>
                <w:rFonts w:hint="eastAsia" w:ascii="方正书宋_GBK" w:eastAsia="方正书宋_GBK"/>
                <w:lang w:eastAsia="zh-CN"/>
              </w:rPr>
              <w:t>县委组织部</w:t>
            </w:r>
            <w:r>
              <w:rPr>
                <w:rFonts w:hint="eastAsia" w:ascii="方正书宋_GBK" w:eastAsia="方正书宋_GBK"/>
              </w:rPr>
              <w:t>门干部监督工作的综合、协调和宏观指导；承办部分干部的调配、交流及安置事宜；承办选调优秀应届大学毕业生到基层工作。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完成县管领导班子和领导干部年度综合考核评价工作，加强干部调研。</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干部人事档案室日常维护工作安全正常开展情况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完善基层党建考核办法，按要求完成乡镇干部年度考核定档，定期开展优秀乡镇干部评选表彰活动，奖励资金全面落实到位。</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对公务员管理系统工作的流程进行优化和联动，做到工作信息实时交换、工作流程上下畅通、相关数据自动更新、业务表单自动生成等基本功能，实现动态管理和实时监督，实现管理系统安全稳定</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县管领导班子和领导干部年度综合考核评价工作完成率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编制各乡镇、县直单位年度考核目标；对各单位任务目标进展情况进行调度、督导、巡查和半年考核。组织实施对全县科级领导班子和科级干部的年终考核及定档，完成市考县各项准备工作，县级优秀领导干部奖金，科级领导班子和科级干部奖励。</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考核激励作用明显，很好推动全县各项工作落实</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激励作用比较明显，对全县工作落实起到积极推动作用</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考核导向作用发挥不够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考核的激励导向作用未有效发挥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对《干部任用条例》及有关党内法规贯彻执行情况进行监督检查工作的完成率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、干部培养选拔</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组织落实培养选拔后备干部、妇女干部、少数民族干部、党外干部和年轻干部工作。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干部选拔工作完成率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、干部教育培训</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主管全县的干部教育培训工作。承担县委干部教育工作领导小组办公室的职责任务；研究和探索适合我县情况的干部培训制度。</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建立规范的干部教育培训体系。</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干部教育培训计划完成情况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三、全县人才工作及队伍建设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负责全县人才工作牵头抓总职能的落实，对全县人才工作和人才队伍建设进行指导、协调和督促检查；负责全县有关专项人才支持计划组织实施工作；负责收集、掌握、反映全县人才工作动态。</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、全县人才工作及队伍建设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负责全县人才工作牵头抓总职能的落实，对全县人才工作和人才队伍建设进行指导、协调和督促检查；负责全县有关专项人才支持计划组织实施工作；负责收集、掌握、反映全县人才工作动态。</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重点人才工程年度目标任务完成率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县委人才工作要点工作完成率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四、组织事务管理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10.28</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10.28</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大组工网出现故障次数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各项综合事务工作完成率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基层党组织建设工作完成率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jc w:val="center"/>
        <w:outlineLvl w:val="0"/>
        <w:rPr>
          <w:rFonts w:hint="eastAsia" w:ascii="方正小标宋_GBK" w:eastAsia="方正小标宋_GBK"/>
          <w:sz w:val="32"/>
        </w:rPr>
      </w:pPr>
    </w:p>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2" w:name="_Toc471398468"/>
      <w:r>
        <w:rPr>
          <w:rFonts w:ascii="Times New Roman" w:hAnsi="Times New Roman" w:eastAsia="仿宋" w:cs="Times New Roman"/>
          <w:sz w:val="32"/>
          <w:szCs w:val="24"/>
        </w:rPr>
        <w:t xml:space="preserve"> 201</w:t>
      </w:r>
      <w:r>
        <w:rPr>
          <w:rFonts w:hint="eastAsia" w:ascii="Times New Roman" w:hAnsi="Times New Roman" w:eastAsia="仿宋" w:cs="Times New Roman"/>
          <w:sz w:val="32"/>
          <w:szCs w:val="24"/>
          <w:lang w:val="en-US" w:eastAsia="zh-CN"/>
        </w:rPr>
        <w:t>9</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53.3</w:t>
      </w:r>
      <w:r>
        <w:rPr>
          <w:rFonts w:ascii="Times New Roman" w:hAnsi="Times New Roman" w:eastAsia="仿宋" w:cs="Times New Roman"/>
          <w:sz w:val="32"/>
          <w:szCs w:val="24"/>
        </w:rPr>
        <w:t>万元。具体内容见下表。</w:t>
      </w:r>
      <w:bookmarkEnd w:id="2"/>
    </w:p>
    <w:p>
      <w:pPr>
        <w:jc w:val="center"/>
        <w:outlineLvl w:val="0"/>
        <w:rPr>
          <w:rFonts w:hint="eastAsia" w:ascii="方正小标宋_GBK" w:eastAsia="方正小标宋_GBK"/>
          <w:sz w:val="32"/>
        </w:rPr>
      </w:pPr>
      <w:bookmarkStart w:id="3" w:name="_Toc503971530"/>
      <w:r>
        <w:rPr>
          <w:rFonts w:hint="eastAsia" w:ascii="方正小标宋_GBK" w:eastAsia="方正小标宋_GBK"/>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5"/>
        <w:gridCol w:w="1076"/>
        <w:gridCol w:w="951"/>
        <w:gridCol w:w="1161"/>
        <w:gridCol w:w="738"/>
        <w:gridCol w:w="967"/>
        <w:gridCol w:w="705"/>
        <w:gridCol w:w="939"/>
        <w:gridCol w:w="940"/>
        <w:gridCol w:w="940"/>
        <w:gridCol w:w="940"/>
        <w:gridCol w:w="943"/>
        <w:gridCol w:w="943"/>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2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203</w:t>
            </w:r>
            <w:r>
              <w:rPr>
                <w:rFonts w:hint="eastAsia" w:ascii="方正小标宋_GBK" w:eastAsia="方正小标宋_GBK"/>
                <w:sz w:val="24"/>
              </w:rPr>
              <w:t>中共曲阳县委组织部</w:t>
            </w:r>
          </w:p>
        </w:tc>
        <w:tc>
          <w:tcPr>
            <w:tcW w:w="654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0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3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6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0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545"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51" w:type="dxa"/>
            <w:vMerge w:val="continue"/>
            <w:shd w:val="clear" w:color="auto" w:fill="auto"/>
            <w:vAlign w:val="center"/>
          </w:tcPr>
          <w:p>
            <w:pPr>
              <w:spacing w:line="300" w:lineRule="exact"/>
              <w:jc w:val="left"/>
              <w:outlineLvl w:val="0"/>
            </w:pPr>
          </w:p>
        </w:tc>
        <w:tc>
          <w:tcPr>
            <w:tcW w:w="1161" w:type="dxa"/>
            <w:vMerge w:val="continue"/>
            <w:shd w:val="clear" w:color="auto" w:fill="auto"/>
            <w:vAlign w:val="center"/>
          </w:tcPr>
          <w:p>
            <w:pPr>
              <w:spacing w:line="300" w:lineRule="exact"/>
              <w:jc w:val="left"/>
              <w:outlineLvl w:val="0"/>
            </w:pPr>
          </w:p>
        </w:tc>
        <w:tc>
          <w:tcPr>
            <w:tcW w:w="738" w:type="dxa"/>
            <w:vMerge w:val="continue"/>
            <w:shd w:val="clear" w:color="auto" w:fill="auto"/>
            <w:vAlign w:val="center"/>
          </w:tcPr>
          <w:p>
            <w:pPr>
              <w:spacing w:line="300" w:lineRule="exact"/>
              <w:jc w:val="left"/>
              <w:outlineLvl w:val="0"/>
            </w:pPr>
          </w:p>
        </w:tc>
        <w:tc>
          <w:tcPr>
            <w:tcW w:w="967" w:type="dxa"/>
            <w:vMerge w:val="continue"/>
            <w:shd w:val="clear" w:color="auto" w:fill="auto"/>
            <w:vAlign w:val="center"/>
          </w:tcPr>
          <w:p>
            <w:pPr>
              <w:spacing w:line="300" w:lineRule="exact"/>
              <w:jc w:val="left"/>
              <w:outlineLvl w:val="0"/>
            </w:pPr>
          </w:p>
        </w:tc>
        <w:tc>
          <w:tcPr>
            <w:tcW w:w="705" w:type="dxa"/>
            <w:vMerge w:val="continue"/>
            <w:shd w:val="clear" w:color="auto" w:fill="auto"/>
            <w:vAlign w:val="center"/>
          </w:tcPr>
          <w:p>
            <w:pPr>
              <w:spacing w:line="300" w:lineRule="exact"/>
              <w:jc w:val="left"/>
              <w:outlineLvl w:val="0"/>
            </w:pPr>
          </w:p>
        </w:tc>
        <w:tc>
          <w:tcPr>
            <w:tcW w:w="93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706"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25" w:type="dxa"/>
            <w:vMerge w:val="continue"/>
            <w:shd w:val="clear" w:color="auto" w:fill="auto"/>
            <w:vAlign w:val="center"/>
          </w:tcPr>
          <w:p>
            <w:pPr>
              <w:spacing w:line="300" w:lineRule="exact"/>
              <w:jc w:val="left"/>
              <w:outlineLvl w:val="0"/>
            </w:pPr>
          </w:p>
        </w:tc>
        <w:tc>
          <w:tcPr>
            <w:tcW w:w="1076" w:type="dxa"/>
            <w:vMerge w:val="continue"/>
            <w:shd w:val="clear" w:color="auto" w:fill="auto"/>
            <w:vAlign w:val="center"/>
          </w:tcPr>
          <w:p>
            <w:pPr>
              <w:spacing w:line="300" w:lineRule="exact"/>
              <w:jc w:val="left"/>
              <w:outlineLvl w:val="0"/>
            </w:pPr>
          </w:p>
        </w:tc>
        <w:tc>
          <w:tcPr>
            <w:tcW w:w="951" w:type="dxa"/>
            <w:vMerge w:val="continue"/>
            <w:shd w:val="clear" w:color="auto" w:fill="auto"/>
            <w:vAlign w:val="center"/>
          </w:tcPr>
          <w:p>
            <w:pPr>
              <w:spacing w:line="300" w:lineRule="exact"/>
              <w:jc w:val="left"/>
              <w:outlineLvl w:val="0"/>
            </w:pPr>
          </w:p>
        </w:tc>
        <w:tc>
          <w:tcPr>
            <w:tcW w:w="1161" w:type="dxa"/>
            <w:vMerge w:val="continue"/>
            <w:shd w:val="clear" w:color="auto" w:fill="auto"/>
            <w:vAlign w:val="center"/>
          </w:tcPr>
          <w:p>
            <w:pPr>
              <w:spacing w:line="300" w:lineRule="exact"/>
              <w:jc w:val="left"/>
              <w:outlineLvl w:val="0"/>
            </w:pPr>
          </w:p>
        </w:tc>
        <w:tc>
          <w:tcPr>
            <w:tcW w:w="738" w:type="dxa"/>
            <w:vMerge w:val="continue"/>
            <w:shd w:val="clear" w:color="auto" w:fill="auto"/>
            <w:vAlign w:val="center"/>
          </w:tcPr>
          <w:p>
            <w:pPr>
              <w:spacing w:line="300" w:lineRule="exact"/>
              <w:jc w:val="left"/>
              <w:outlineLvl w:val="0"/>
            </w:pPr>
          </w:p>
        </w:tc>
        <w:tc>
          <w:tcPr>
            <w:tcW w:w="967" w:type="dxa"/>
            <w:vMerge w:val="continue"/>
            <w:shd w:val="clear" w:color="auto" w:fill="auto"/>
            <w:vAlign w:val="center"/>
          </w:tcPr>
          <w:p>
            <w:pPr>
              <w:spacing w:line="300" w:lineRule="exact"/>
              <w:jc w:val="left"/>
              <w:outlineLvl w:val="0"/>
            </w:pPr>
          </w:p>
        </w:tc>
        <w:tc>
          <w:tcPr>
            <w:tcW w:w="705" w:type="dxa"/>
            <w:vMerge w:val="continue"/>
            <w:shd w:val="clear" w:color="auto" w:fill="auto"/>
            <w:vAlign w:val="center"/>
          </w:tcPr>
          <w:p>
            <w:pPr>
              <w:spacing w:line="300" w:lineRule="exact"/>
              <w:jc w:val="left"/>
              <w:outlineLvl w:val="0"/>
            </w:pPr>
          </w:p>
        </w:tc>
        <w:tc>
          <w:tcPr>
            <w:tcW w:w="939" w:type="dxa"/>
            <w:vMerge w:val="continue"/>
            <w:shd w:val="clear" w:color="auto" w:fill="auto"/>
            <w:vAlign w:val="center"/>
          </w:tcPr>
          <w:p>
            <w:pPr>
              <w:spacing w:line="300" w:lineRule="exact"/>
              <w:jc w:val="left"/>
              <w:outlineLvl w:val="0"/>
            </w:pP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00"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76" w:type="dxa"/>
            <w:shd w:val="clear" w:color="auto" w:fill="auto"/>
            <w:vAlign w:val="center"/>
          </w:tcPr>
          <w:p>
            <w:pPr>
              <w:spacing w:line="300" w:lineRule="exact"/>
              <w:jc w:val="right"/>
              <w:rPr>
                <w:rFonts w:ascii="方正书宋_GBK" w:eastAsia="方正书宋_GBK"/>
                <w:b/>
              </w:rPr>
            </w:pPr>
          </w:p>
        </w:tc>
        <w:tc>
          <w:tcPr>
            <w:tcW w:w="951" w:type="dxa"/>
            <w:shd w:val="clear" w:color="auto" w:fill="auto"/>
            <w:vAlign w:val="center"/>
          </w:tcPr>
          <w:p>
            <w:pPr>
              <w:spacing w:line="300" w:lineRule="exact"/>
              <w:jc w:val="left"/>
              <w:rPr>
                <w:rFonts w:ascii="方正书宋_GBK" w:eastAsia="方正书宋_GBK"/>
                <w:b/>
              </w:rPr>
            </w:pPr>
          </w:p>
        </w:tc>
        <w:tc>
          <w:tcPr>
            <w:tcW w:w="1161" w:type="dxa"/>
            <w:shd w:val="clear" w:color="auto" w:fill="auto"/>
            <w:vAlign w:val="center"/>
          </w:tcPr>
          <w:p>
            <w:pPr>
              <w:spacing w:line="300" w:lineRule="exact"/>
              <w:jc w:val="left"/>
              <w:rPr>
                <w:rFonts w:ascii="方正书宋_GBK" w:eastAsia="方正书宋_GBK"/>
                <w:b/>
              </w:rPr>
            </w:pPr>
          </w:p>
        </w:tc>
        <w:tc>
          <w:tcPr>
            <w:tcW w:w="738" w:type="dxa"/>
            <w:shd w:val="clear" w:color="auto" w:fill="auto"/>
            <w:vAlign w:val="center"/>
          </w:tcPr>
          <w:p>
            <w:pPr>
              <w:spacing w:line="300" w:lineRule="exact"/>
              <w:jc w:val="left"/>
              <w:rPr>
                <w:rFonts w:ascii="方正书宋_GBK" w:eastAsia="方正书宋_GBK"/>
                <w:b/>
              </w:rPr>
            </w:pPr>
          </w:p>
        </w:tc>
        <w:tc>
          <w:tcPr>
            <w:tcW w:w="967" w:type="dxa"/>
            <w:shd w:val="clear" w:color="auto" w:fill="auto"/>
            <w:vAlign w:val="center"/>
          </w:tcPr>
          <w:p>
            <w:pPr>
              <w:spacing w:line="300" w:lineRule="exact"/>
              <w:jc w:val="right"/>
              <w:rPr>
                <w:rFonts w:ascii="方正书宋_GBK" w:eastAsia="方正书宋_GBK"/>
                <w:b/>
              </w:rPr>
            </w:pPr>
          </w:p>
        </w:tc>
        <w:tc>
          <w:tcPr>
            <w:tcW w:w="705" w:type="dxa"/>
            <w:shd w:val="clear" w:color="auto" w:fill="auto"/>
            <w:vAlign w:val="center"/>
          </w:tcPr>
          <w:p>
            <w:pPr>
              <w:spacing w:line="300" w:lineRule="exact"/>
              <w:jc w:val="right"/>
              <w:rPr>
                <w:rFonts w:ascii="方正书宋_GBK" w:eastAsia="方正书宋_GBK"/>
                <w:b/>
              </w:rPr>
            </w:pPr>
          </w:p>
        </w:tc>
        <w:tc>
          <w:tcPr>
            <w:tcW w:w="939"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c>
          <w:tcPr>
            <w:tcW w:w="900"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中共曲阳县委组织部小计</w:t>
            </w:r>
          </w:p>
        </w:tc>
        <w:tc>
          <w:tcPr>
            <w:tcW w:w="1076" w:type="dxa"/>
            <w:shd w:val="clear" w:color="auto" w:fill="auto"/>
            <w:vAlign w:val="center"/>
          </w:tcPr>
          <w:p>
            <w:pPr>
              <w:spacing w:line="300" w:lineRule="exact"/>
              <w:jc w:val="right"/>
              <w:rPr>
                <w:rFonts w:ascii="方正书宋_GBK" w:eastAsia="方正书宋_GBK"/>
                <w:b/>
              </w:rPr>
            </w:pPr>
          </w:p>
        </w:tc>
        <w:tc>
          <w:tcPr>
            <w:tcW w:w="951" w:type="dxa"/>
            <w:shd w:val="clear" w:color="auto" w:fill="auto"/>
            <w:vAlign w:val="center"/>
          </w:tcPr>
          <w:p>
            <w:pPr>
              <w:spacing w:line="300" w:lineRule="exact"/>
              <w:jc w:val="left"/>
              <w:rPr>
                <w:rFonts w:ascii="方正书宋_GBK" w:eastAsia="方正书宋_GBK"/>
                <w:b/>
              </w:rPr>
            </w:pPr>
          </w:p>
        </w:tc>
        <w:tc>
          <w:tcPr>
            <w:tcW w:w="1161" w:type="dxa"/>
            <w:shd w:val="clear" w:color="auto" w:fill="auto"/>
            <w:vAlign w:val="center"/>
          </w:tcPr>
          <w:p>
            <w:pPr>
              <w:spacing w:line="300" w:lineRule="exact"/>
              <w:jc w:val="left"/>
              <w:rPr>
                <w:rFonts w:ascii="方正书宋_GBK" w:eastAsia="方正书宋_GBK"/>
                <w:b/>
              </w:rPr>
            </w:pPr>
          </w:p>
        </w:tc>
        <w:tc>
          <w:tcPr>
            <w:tcW w:w="738" w:type="dxa"/>
            <w:shd w:val="clear" w:color="auto" w:fill="auto"/>
            <w:vAlign w:val="center"/>
          </w:tcPr>
          <w:p>
            <w:pPr>
              <w:spacing w:line="300" w:lineRule="exact"/>
              <w:jc w:val="left"/>
              <w:rPr>
                <w:rFonts w:ascii="方正书宋_GBK" w:eastAsia="方正书宋_GBK"/>
                <w:b/>
              </w:rPr>
            </w:pPr>
          </w:p>
        </w:tc>
        <w:tc>
          <w:tcPr>
            <w:tcW w:w="967" w:type="dxa"/>
            <w:shd w:val="clear" w:color="auto" w:fill="auto"/>
            <w:vAlign w:val="center"/>
          </w:tcPr>
          <w:p>
            <w:pPr>
              <w:spacing w:line="300" w:lineRule="exact"/>
              <w:jc w:val="right"/>
              <w:rPr>
                <w:rFonts w:ascii="方正书宋_GBK" w:eastAsia="方正书宋_GBK"/>
                <w:b/>
              </w:rPr>
            </w:pPr>
          </w:p>
        </w:tc>
        <w:tc>
          <w:tcPr>
            <w:tcW w:w="705" w:type="dxa"/>
            <w:shd w:val="clear" w:color="auto" w:fill="auto"/>
            <w:vAlign w:val="center"/>
          </w:tcPr>
          <w:p>
            <w:pPr>
              <w:spacing w:line="300" w:lineRule="exact"/>
              <w:jc w:val="right"/>
              <w:rPr>
                <w:rFonts w:ascii="方正书宋_GBK" w:eastAsia="方正书宋_GBK"/>
                <w:b/>
              </w:rPr>
            </w:pPr>
          </w:p>
        </w:tc>
        <w:tc>
          <w:tcPr>
            <w:tcW w:w="939"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r>
              <w:rPr>
                <w:rFonts w:ascii="方正书宋_GBK" w:eastAsia="方正书宋_GBK"/>
                <w:b/>
              </w:rPr>
              <w:t>53.30</w:t>
            </w:r>
          </w:p>
        </w:tc>
        <w:tc>
          <w:tcPr>
            <w:tcW w:w="940"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c>
          <w:tcPr>
            <w:tcW w:w="943" w:type="dxa"/>
            <w:shd w:val="clear" w:color="auto" w:fill="auto"/>
            <w:vAlign w:val="center"/>
          </w:tcPr>
          <w:p>
            <w:pPr>
              <w:spacing w:line="300" w:lineRule="exact"/>
              <w:jc w:val="right"/>
              <w:rPr>
                <w:rFonts w:ascii="方正书宋_GBK" w:eastAsia="方正书宋_GBK"/>
                <w:b/>
              </w:rPr>
            </w:pPr>
          </w:p>
        </w:tc>
        <w:tc>
          <w:tcPr>
            <w:tcW w:w="900"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基层组织建设资金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73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0.09</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基层组织建设资金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基层组织建设资金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块</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块</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新发展党员培训资金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新发展党员培训资金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全县重点工作大督查经费项目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精准脱贫驻村干部管理经费</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精准脱贫驻村干部管理经费</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份</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精准脱贫驻村干部管理经费</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块</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基层组织建设资金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基层组织建设资金</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1.35</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1.35</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1.35</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0.07</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0.35</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2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考核经费项目</w:t>
            </w:r>
          </w:p>
        </w:tc>
        <w:tc>
          <w:tcPr>
            <w:tcW w:w="1076"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95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73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6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705"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39"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40"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43" w:type="dxa"/>
            <w:shd w:val="clear" w:color="auto" w:fill="auto"/>
            <w:vAlign w:val="center"/>
          </w:tcPr>
          <w:p>
            <w:pPr>
              <w:spacing w:line="300" w:lineRule="exact"/>
              <w:jc w:val="right"/>
              <w:rPr>
                <w:rFonts w:ascii="方正书宋_GBK" w:eastAsia="方正书宋_GBK"/>
              </w:rPr>
            </w:pPr>
          </w:p>
        </w:tc>
        <w:tc>
          <w:tcPr>
            <w:tcW w:w="900" w:type="dxa"/>
            <w:shd w:val="clear" w:color="auto" w:fill="auto"/>
            <w:vAlign w:val="center"/>
          </w:tcPr>
          <w:p>
            <w:pPr>
              <w:spacing w:line="300" w:lineRule="exact"/>
              <w:jc w:val="right"/>
              <w:rPr>
                <w:rFonts w:ascii="方正书宋_GBK" w:eastAsia="方正书宋_GBK"/>
              </w:rPr>
            </w:pPr>
          </w:p>
        </w:tc>
      </w:tr>
    </w:tbl>
    <w:p>
      <w:pPr>
        <w:jc w:val="center"/>
        <w:outlineLvl w:val="0"/>
        <w:rPr>
          <w:rFonts w:hint="eastAsia" w:ascii="方正小标宋_GBK" w:eastAsia="方正小标宋_GBK"/>
          <w:sz w:val="32"/>
        </w:rPr>
      </w:pPr>
    </w:p>
    <w:p>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曲阳县委组织部</w:t>
      </w:r>
      <w:r>
        <w:rPr>
          <w:rFonts w:hint="eastAsia" w:ascii="Times New Roman" w:hAnsi="Times New Roman" w:eastAsia="仿宋" w:cs="Times New Roman"/>
          <w:color w:val="000000" w:themeColor="text1"/>
          <w:sz w:val="32"/>
          <w:szCs w:val="32"/>
          <w14:textFill>
            <w14:solidFill>
              <w14:schemeClr w14:val="tx1"/>
            </w14:solidFill>
          </w14:textFill>
        </w:rPr>
        <w:t>（含所属单位）</w:t>
      </w:r>
      <w:r>
        <w:rPr>
          <w:rFonts w:ascii="Times New Roman" w:hAnsi="Times New Roman" w:eastAsia="仿宋" w:cs="Times New Roman"/>
          <w:color w:val="000000" w:themeColor="text1"/>
          <w:sz w:val="32"/>
          <w:szCs w:val="32"/>
          <w14:textFill>
            <w14:solidFill>
              <w14:schemeClr w14:val="tx1"/>
            </w14:solidFill>
          </w14:textFill>
        </w:rPr>
        <w:t>上年末固定资产金额为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48.91</w:t>
      </w:r>
      <w:r>
        <w:rPr>
          <w:rFonts w:ascii="Times New Roman" w:hAnsi="Times New Roman" w:eastAsia="仿宋" w:cs="Times New Roman"/>
          <w:color w:val="000000" w:themeColor="text1"/>
          <w:sz w:val="32"/>
          <w:szCs w:val="32"/>
          <w14:textFill>
            <w14:solidFill>
              <w14:schemeClr w14:val="tx1"/>
            </w14:solidFill>
          </w14:textFill>
        </w:rPr>
        <w:t>万元（详见下表），本年度各单位</w:t>
      </w:r>
      <w:r>
        <w:rPr>
          <w:rFonts w:hint="eastAsia" w:ascii="Times New Roman" w:hAnsi="Times New Roman" w:eastAsia="仿宋" w:cs="Times New Roman"/>
          <w:color w:val="000000" w:themeColor="text1"/>
          <w:sz w:val="32"/>
          <w:szCs w:val="32"/>
          <w14:textFill>
            <w14:solidFill>
              <w14:schemeClr w14:val="tx1"/>
            </w14:solidFill>
          </w14:textFill>
        </w:rPr>
        <w:t>（处室）</w:t>
      </w:r>
      <w:r>
        <w:rPr>
          <w:rFonts w:ascii="Times New Roman" w:hAnsi="Times New Roman" w:eastAsia="仿宋" w:cs="Times New Roman"/>
          <w:color w:val="000000" w:themeColor="text1"/>
          <w:sz w:val="32"/>
          <w:szCs w:val="32"/>
          <w14:textFill>
            <w14:solidFill>
              <w14:schemeClr w14:val="tx1"/>
            </w14:solidFill>
          </w14:textFill>
        </w:rPr>
        <w:t>拟购置固定资产</w:t>
      </w:r>
      <w:r>
        <w:rPr>
          <w:rFonts w:hint="eastAsia" w:ascii="Times New Roman" w:hAnsi="Times New Roman" w:eastAsia="仿宋" w:cs="Times New Roman"/>
          <w:color w:val="000000" w:themeColor="text1"/>
          <w:sz w:val="32"/>
          <w:szCs w:val="32"/>
          <w14:textFill>
            <w14:solidFill>
              <w14:schemeClr w14:val="tx1"/>
            </w14:solidFill>
          </w14:textFill>
        </w:rPr>
        <w:t>总额为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万元，主要为计算机、一体机、空调、打印机</w:t>
      </w:r>
      <w:r>
        <w:rPr>
          <w:rFonts w:hint="eastAsia" w:ascii="Times New Roman" w:hAnsi="Times New Roman" w:eastAsia="仿宋" w:cs="Times New Roman"/>
          <w:color w:val="000000" w:themeColor="text1"/>
          <w:sz w:val="32"/>
          <w:szCs w:val="32"/>
          <w:lang w:eastAsia="zh-CN"/>
          <w14:textFill>
            <w14:solidFill>
              <w14:schemeClr w14:val="tx1"/>
            </w14:solidFill>
          </w14:textFill>
        </w:rPr>
        <w:t>、档案柜</w:t>
      </w:r>
      <w:r>
        <w:rPr>
          <w:rFonts w:ascii="Times New Roman" w:hAnsi="Times New Roman" w:eastAsia="仿宋" w:cs="Times New Roman"/>
          <w:color w:val="000000" w:themeColor="text1"/>
          <w:sz w:val="32"/>
          <w:szCs w:val="32"/>
          <w14:textFill>
            <w14:solidFill>
              <w14:schemeClr w14:val="tx1"/>
            </w14:solidFill>
          </w14:textFill>
        </w:rPr>
        <w:t>等，已列入政府采购预算</w:t>
      </w:r>
      <w:r>
        <w:rPr>
          <w:rFonts w:hint="eastAsia" w:ascii="Times New Roman" w:hAnsi="Times New Roman" w:eastAsia="仿宋" w:cs="Times New Roman"/>
          <w:color w:val="000000" w:themeColor="text1"/>
          <w:sz w:val="32"/>
          <w:szCs w:val="32"/>
          <w14:textFill>
            <w14:solidFill>
              <w14:schemeClr w14:val="tx1"/>
            </w14:solidFill>
          </w14:textFill>
        </w:rPr>
        <w:t>，详见政府采购预算表。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lang w:eastAsia="zh-CN"/>
              </w:rPr>
              <w:t>曲阳县委组织部</w:t>
            </w: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曲阳县委组织部</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8</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val="en-US" w:eastAsia="zh-CN"/>
              </w:rPr>
            </w:pPr>
            <w:r>
              <w:rPr>
                <w:rFonts w:hint="eastAsia" w:ascii="Times New Roman" w:hAnsi="Times New Roman" w:eastAsia="仿宋" w:cs="Times New Roman"/>
                <w:kern w:val="0"/>
                <w:sz w:val="22"/>
                <w:lang w:val="en-US" w:eastAsia="zh-CN"/>
              </w:rPr>
              <w:t>48.91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lang w:val="en-US"/>
              </w:rPr>
            </w:pPr>
            <w:r>
              <w:rPr>
                <w:rFonts w:hint="eastAsia" w:ascii="Times New Roman" w:hAnsi="Times New Roman" w:eastAsia="仿宋" w:cs="Times New Roman"/>
                <w:kern w:val="0"/>
                <w:sz w:val="22"/>
                <w:lang w:val="en-US" w:eastAsia="zh-CN"/>
              </w:rPr>
              <w:t>17.98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30.93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1、一般预算收入：</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4、机关运行费：是指各部门的公用经费，包括办公及印刷费、邮电费、差旅费、会议费、福利费、日常维修费、公务用车运行维护费以及其他费用。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52255AD"/>
    <w:rsid w:val="0D224408"/>
    <w:rsid w:val="175406B4"/>
    <w:rsid w:val="25672429"/>
    <w:rsid w:val="28F23CF2"/>
    <w:rsid w:val="30FF1013"/>
    <w:rsid w:val="33627F5C"/>
    <w:rsid w:val="36113080"/>
    <w:rsid w:val="41A34F52"/>
    <w:rsid w:val="448D5606"/>
    <w:rsid w:val="48F4499C"/>
    <w:rsid w:val="53617380"/>
    <w:rsid w:val="5ED30D80"/>
    <w:rsid w:val="6F39017C"/>
    <w:rsid w:val="712D28BC"/>
    <w:rsid w:val="73824B99"/>
    <w:rsid w:val="782C1DC6"/>
    <w:rsid w:val="7CA757C7"/>
    <w:rsid w:val="7FAA0CFF"/>
    <w:rsid w:val="7FBF2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2025-02-19T01:57:50Z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