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986曲阳县燕赵镇人民政府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1164.98</w:t>
            </w:r>
          </w:p>
        </w:tc>
        <w:tc>
          <w:tcPr>
            <w:tcW w:w="4535" w:type="dxa"/>
            <w:vAlign w:val="center"/>
          </w:tcPr>
          <w:p>
            <w:pPr>
              <w:pStyle w:val="12"/>
            </w:pPr>
            <w:r>
              <w:t>一、一般公共服务支出</w:t>
            </w:r>
          </w:p>
        </w:tc>
        <w:tc>
          <w:tcPr>
            <w:tcW w:w="2126" w:type="dxa"/>
            <w:vAlign w:val="center"/>
          </w:tcPr>
          <w:p>
            <w:pPr>
              <w:pStyle w:val="11"/>
            </w:pPr>
            <w:r>
              <w:t>515.33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1164.98</w:t>
            </w:r>
          </w:p>
        </w:tc>
        <w:tc>
          <w:tcPr>
            <w:tcW w:w="4535" w:type="dxa"/>
            <w:vAlign w:val="center"/>
          </w:tcPr>
          <w:p>
            <w:pPr>
              <w:pStyle w:val="14"/>
            </w:pPr>
            <w:r>
              <w:t>本年支出合计</w:t>
            </w:r>
          </w:p>
        </w:tc>
        <w:tc>
          <w:tcPr>
            <w:tcW w:w="2126" w:type="dxa"/>
            <w:vAlign w:val="center"/>
          </w:tcPr>
          <w:p>
            <w:pPr>
              <w:pStyle w:val="15"/>
            </w:pPr>
            <w:r>
              <w:t>1164.98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1164.98</w:t>
            </w:r>
          </w:p>
        </w:tc>
        <w:tc>
          <w:tcPr>
            <w:tcW w:w="4535" w:type="dxa"/>
            <w:vAlign w:val="center"/>
          </w:tcPr>
          <w:p>
            <w:pPr>
              <w:pStyle w:val="14"/>
            </w:pPr>
            <w:r>
              <w:t>支出总计</w:t>
            </w:r>
          </w:p>
        </w:tc>
        <w:tc>
          <w:tcPr>
            <w:tcW w:w="2126" w:type="dxa"/>
            <w:vAlign w:val="center"/>
          </w:tcPr>
          <w:p>
            <w:pPr>
              <w:pStyle w:val="15"/>
            </w:pPr>
            <w:r>
              <w:t>1164.98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986曲阳县燕赵镇人民政府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1164.98</w:t>
            </w:r>
          </w:p>
        </w:tc>
        <w:tc>
          <w:tcPr>
            <w:tcW w:w="1134" w:type="dxa"/>
            <w:vAlign w:val="center"/>
          </w:tcPr>
          <w:p>
            <w:pPr>
              <w:pStyle w:val="15"/>
            </w:pPr>
            <w:r>
              <w:t>1164.98</w:t>
            </w:r>
          </w:p>
        </w:tc>
        <w:tc>
          <w:tcPr>
            <w:tcW w:w="1134" w:type="dxa"/>
            <w:vAlign w:val="center"/>
          </w:tcPr>
          <w:p>
            <w:pPr>
              <w:pStyle w:val="15"/>
            </w:pPr>
            <w:r>
              <w:t>1164.98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515.33</w:t>
            </w:r>
          </w:p>
        </w:tc>
        <w:tc>
          <w:tcPr>
            <w:tcW w:w="1134" w:type="dxa"/>
            <w:vAlign w:val="center"/>
          </w:tcPr>
          <w:p>
            <w:pPr>
              <w:pStyle w:val="11"/>
            </w:pPr>
            <w:r>
              <w:t>515.33</w:t>
            </w:r>
          </w:p>
        </w:tc>
        <w:tc>
          <w:tcPr>
            <w:tcW w:w="1134" w:type="dxa"/>
            <w:vAlign w:val="center"/>
          </w:tcPr>
          <w:p>
            <w:pPr>
              <w:pStyle w:val="11"/>
            </w:pPr>
            <w:r>
              <w:t>515.33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507.33</w:t>
            </w:r>
          </w:p>
        </w:tc>
        <w:tc>
          <w:tcPr>
            <w:tcW w:w="1134" w:type="dxa"/>
            <w:vAlign w:val="center"/>
          </w:tcPr>
          <w:p>
            <w:pPr>
              <w:pStyle w:val="11"/>
            </w:pPr>
            <w:r>
              <w:t>507.33</w:t>
            </w:r>
          </w:p>
        </w:tc>
        <w:tc>
          <w:tcPr>
            <w:tcW w:w="1134" w:type="dxa"/>
            <w:vAlign w:val="center"/>
          </w:tcPr>
          <w:p>
            <w:pPr>
              <w:pStyle w:val="11"/>
            </w:pPr>
            <w:r>
              <w:t>507.33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280.77</w:t>
            </w:r>
          </w:p>
        </w:tc>
        <w:tc>
          <w:tcPr>
            <w:tcW w:w="1134" w:type="dxa"/>
            <w:vAlign w:val="center"/>
          </w:tcPr>
          <w:p>
            <w:pPr>
              <w:pStyle w:val="11"/>
            </w:pPr>
            <w:r>
              <w:t>280.77</w:t>
            </w:r>
          </w:p>
        </w:tc>
        <w:tc>
          <w:tcPr>
            <w:tcW w:w="1134" w:type="dxa"/>
            <w:vAlign w:val="center"/>
          </w:tcPr>
          <w:p>
            <w:pPr>
              <w:pStyle w:val="11"/>
            </w:pPr>
            <w:r>
              <w:t>280.77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32.01</w:t>
            </w:r>
          </w:p>
        </w:tc>
        <w:tc>
          <w:tcPr>
            <w:tcW w:w="1134" w:type="dxa"/>
            <w:vAlign w:val="center"/>
          </w:tcPr>
          <w:p>
            <w:pPr>
              <w:pStyle w:val="11"/>
            </w:pPr>
            <w:r>
              <w:t>32.01</w:t>
            </w:r>
          </w:p>
        </w:tc>
        <w:tc>
          <w:tcPr>
            <w:tcW w:w="1134" w:type="dxa"/>
            <w:vAlign w:val="center"/>
          </w:tcPr>
          <w:p>
            <w:pPr>
              <w:pStyle w:val="11"/>
            </w:pPr>
            <w:r>
              <w:t>32.01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194.55</w:t>
            </w:r>
          </w:p>
        </w:tc>
        <w:tc>
          <w:tcPr>
            <w:tcW w:w="1134" w:type="dxa"/>
            <w:vAlign w:val="center"/>
          </w:tcPr>
          <w:p>
            <w:pPr>
              <w:pStyle w:val="11"/>
            </w:pPr>
            <w:r>
              <w:t>194.55</w:t>
            </w:r>
          </w:p>
        </w:tc>
        <w:tc>
          <w:tcPr>
            <w:tcW w:w="1134" w:type="dxa"/>
            <w:vAlign w:val="center"/>
          </w:tcPr>
          <w:p>
            <w:pPr>
              <w:pStyle w:val="11"/>
            </w:pPr>
            <w:r>
              <w:t>194.55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r>
              <w:t>108.84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20.18</w:t>
            </w:r>
          </w:p>
        </w:tc>
        <w:tc>
          <w:tcPr>
            <w:tcW w:w="1134" w:type="dxa"/>
            <w:vAlign w:val="center"/>
          </w:tcPr>
          <w:p>
            <w:pPr>
              <w:pStyle w:val="11"/>
            </w:pPr>
            <w:r>
              <w:t>20.18</w:t>
            </w:r>
          </w:p>
        </w:tc>
        <w:tc>
          <w:tcPr>
            <w:tcW w:w="1134" w:type="dxa"/>
            <w:vAlign w:val="center"/>
          </w:tcPr>
          <w:p>
            <w:pPr>
              <w:pStyle w:val="11"/>
            </w:pPr>
            <w:r>
              <w:t>20.18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30.48</w:t>
            </w:r>
          </w:p>
        </w:tc>
        <w:tc>
          <w:tcPr>
            <w:tcW w:w="1134" w:type="dxa"/>
            <w:vAlign w:val="center"/>
          </w:tcPr>
          <w:p>
            <w:pPr>
              <w:pStyle w:val="11"/>
            </w:pPr>
            <w:r>
              <w:t>30.48</w:t>
            </w:r>
          </w:p>
        </w:tc>
        <w:tc>
          <w:tcPr>
            <w:tcW w:w="1134" w:type="dxa"/>
            <w:vAlign w:val="center"/>
          </w:tcPr>
          <w:p>
            <w:pPr>
              <w:pStyle w:val="11"/>
            </w:pPr>
            <w:r>
              <w:t>30.48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52.97</w:t>
            </w:r>
          </w:p>
        </w:tc>
        <w:tc>
          <w:tcPr>
            <w:tcW w:w="1134" w:type="dxa"/>
            <w:vAlign w:val="center"/>
          </w:tcPr>
          <w:p>
            <w:pPr>
              <w:pStyle w:val="11"/>
            </w:pPr>
            <w:r>
              <w:t>52.97</w:t>
            </w:r>
          </w:p>
        </w:tc>
        <w:tc>
          <w:tcPr>
            <w:tcW w:w="1134" w:type="dxa"/>
            <w:vAlign w:val="center"/>
          </w:tcPr>
          <w:p>
            <w:pPr>
              <w:pStyle w:val="11"/>
            </w:pPr>
            <w:r>
              <w:t>52.97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14.01</w:t>
            </w:r>
          </w:p>
        </w:tc>
        <w:tc>
          <w:tcPr>
            <w:tcW w:w="1134" w:type="dxa"/>
            <w:vAlign w:val="center"/>
          </w:tcPr>
          <w:p>
            <w:pPr>
              <w:pStyle w:val="11"/>
            </w:pPr>
            <w:r>
              <w:t>14.01</w:t>
            </w:r>
          </w:p>
        </w:tc>
        <w:tc>
          <w:tcPr>
            <w:tcW w:w="1134" w:type="dxa"/>
            <w:vAlign w:val="center"/>
          </w:tcPr>
          <w:p>
            <w:pPr>
              <w:pStyle w:val="11"/>
            </w:pPr>
            <w:r>
              <w:t>14.01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38.48</w:t>
            </w:r>
          </w:p>
        </w:tc>
        <w:tc>
          <w:tcPr>
            <w:tcW w:w="1134" w:type="dxa"/>
            <w:vAlign w:val="center"/>
          </w:tcPr>
          <w:p>
            <w:pPr>
              <w:pStyle w:val="11"/>
            </w:pPr>
            <w:r>
              <w:t>38.48</w:t>
            </w:r>
          </w:p>
        </w:tc>
        <w:tc>
          <w:tcPr>
            <w:tcW w:w="1134" w:type="dxa"/>
            <w:vAlign w:val="center"/>
          </w:tcPr>
          <w:p>
            <w:pPr>
              <w:pStyle w:val="11"/>
            </w:pPr>
            <w:r>
              <w:t>38.48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33.48</w:t>
            </w:r>
          </w:p>
        </w:tc>
        <w:tc>
          <w:tcPr>
            <w:tcW w:w="1134" w:type="dxa"/>
            <w:vAlign w:val="center"/>
          </w:tcPr>
          <w:p>
            <w:pPr>
              <w:pStyle w:val="11"/>
            </w:pPr>
            <w:r>
              <w:t>33.48</w:t>
            </w:r>
          </w:p>
        </w:tc>
        <w:tc>
          <w:tcPr>
            <w:tcW w:w="1134" w:type="dxa"/>
            <w:vAlign w:val="center"/>
          </w:tcPr>
          <w:p>
            <w:pPr>
              <w:pStyle w:val="11"/>
            </w:pPr>
            <w:r>
              <w:t>33.48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r>
              <w:t>424.00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r>
              <w:t>40.13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1164.98</w:t>
            </w:r>
          </w:p>
        </w:tc>
        <w:tc>
          <w:tcPr>
            <w:tcW w:w="1361" w:type="dxa"/>
            <w:vAlign w:val="center"/>
          </w:tcPr>
          <w:p>
            <w:pPr>
              <w:pStyle w:val="15"/>
            </w:pPr>
            <w:r>
              <w:t>662.49</w:t>
            </w:r>
          </w:p>
        </w:tc>
        <w:tc>
          <w:tcPr>
            <w:tcW w:w="1361" w:type="dxa"/>
            <w:vAlign w:val="center"/>
          </w:tcPr>
          <w:p>
            <w:pPr>
              <w:pStyle w:val="15"/>
            </w:pPr>
            <w:r>
              <w:t>502.49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515.33</w:t>
            </w:r>
          </w:p>
        </w:tc>
        <w:tc>
          <w:tcPr>
            <w:tcW w:w="1361" w:type="dxa"/>
            <w:vAlign w:val="center"/>
          </w:tcPr>
          <w:p>
            <w:pPr>
              <w:pStyle w:val="11"/>
            </w:pPr>
            <w:r>
              <w:t>475.32</w:t>
            </w:r>
          </w:p>
        </w:tc>
        <w:tc>
          <w:tcPr>
            <w:tcW w:w="1361" w:type="dxa"/>
            <w:vAlign w:val="center"/>
          </w:tcPr>
          <w:p>
            <w:pPr>
              <w:pStyle w:val="11"/>
            </w:pPr>
            <w:r>
              <w:t>40.01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507.33</w:t>
            </w:r>
          </w:p>
        </w:tc>
        <w:tc>
          <w:tcPr>
            <w:tcW w:w="1361" w:type="dxa"/>
            <w:vAlign w:val="center"/>
          </w:tcPr>
          <w:p>
            <w:pPr>
              <w:pStyle w:val="11"/>
            </w:pPr>
            <w:r>
              <w:t>475.32</w:t>
            </w: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280.77</w:t>
            </w:r>
          </w:p>
        </w:tc>
        <w:tc>
          <w:tcPr>
            <w:tcW w:w="1361" w:type="dxa"/>
            <w:vAlign w:val="center"/>
          </w:tcPr>
          <w:p>
            <w:pPr>
              <w:pStyle w:val="11"/>
            </w:pPr>
            <w:r>
              <w:t>280.77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r>
              <w:t>32.01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194.55</w:t>
            </w:r>
          </w:p>
        </w:tc>
        <w:tc>
          <w:tcPr>
            <w:tcW w:w="1361" w:type="dxa"/>
            <w:vAlign w:val="center"/>
          </w:tcPr>
          <w:p>
            <w:pPr>
              <w:pStyle w:val="11"/>
            </w:pPr>
            <w:r>
              <w:t>194.55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108.84</w:t>
            </w:r>
          </w:p>
        </w:tc>
        <w:tc>
          <w:tcPr>
            <w:tcW w:w="1361" w:type="dxa"/>
            <w:vAlign w:val="center"/>
          </w:tcPr>
          <w:p>
            <w:pPr>
              <w:pStyle w:val="11"/>
            </w:pPr>
            <w:r>
              <w:t>108.84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108.84</w:t>
            </w:r>
          </w:p>
        </w:tc>
        <w:tc>
          <w:tcPr>
            <w:tcW w:w="1361" w:type="dxa"/>
            <w:vAlign w:val="center"/>
          </w:tcPr>
          <w:p>
            <w:pPr>
              <w:pStyle w:val="11"/>
            </w:pPr>
            <w:r>
              <w:t>108.84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20.18</w:t>
            </w:r>
          </w:p>
        </w:tc>
        <w:tc>
          <w:tcPr>
            <w:tcW w:w="1361" w:type="dxa"/>
            <w:vAlign w:val="center"/>
          </w:tcPr>
          <w:p>
            <w:pPr>
              <w:pStyle w:val="11"/>
            </w:pPr>
            <w:r>
              <w:t>20.18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30.48</w:t>
            </w:r>
          </w:p>
        </w:tc>
        <w:tc>
          <w:tcPr>
            <w:tcW w:w="1361" w:type="dxa"/>
            <w:vAlign w:val="center"/>
          </w:tcPr>
          <w:p>
            <w:pPr>
              <w:pStyle w:val="11"/>
            </w:pPr>
            <w:r>
              <w:t>30.48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52.97</w:t>
            </w:r>
          </w:p>
        </w:tc>
        <w:tc>
          <w:tcPr>
            <w:tcW w:w="1361" w:type="dxa"/>
            <w:vAlign w:val="center"/>
          </w:tcPr>
          <w:p>
            <w:pPr>
              <w:pStyle w:val="11"/>
            </w:pPr>
            <w:r>
              <w:t>52.97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5.21</w:t>
            </w:r>
          </w:p>
        </w:tc>
        <w:tc>
          <w:tcPr>
            <w:tcW w:w="1361" w:type="dxa"/>
            <w:vAlign w:val="center"/>
          </w:tcPr>
          <w:p>
            <w:pPr>
              <w:pStyle w:val="11"/>
            </w:pPr>
            <w:r>
              <w:t>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14.01</w:t>
            </w:r>
          </w:p>
        </w:tc>
        <w:tc>
          <w:tcPr>
            <w:tcW w:w="1361" w:type="dxa"/>
            <w:vAlign w:val="center"/>
          </w:tcPr>
          <w:p>
            <w:pPr>
              <w:pStyle w:val="11"/>
            </w:pPr>
            <w:r>
              <w:t>14.01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13.04</w:t>
            </w:r>
          </w:p>
        </w:tc>
        <w:tc>
          <w:tcPr>
            <w:tcW w:w="1361" w:type="dxa"/>
            <w:vAlign w:val="center"/>
          </w:tcPr>
          <w:p>
            <w:pPr>
              <w:pStyle w:val="11"/>
            </w:pPr>
            <w:r>
              <w:t>13.04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11.15</w:t>
            </w: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38.48</w:t>
            </w:r>
          </w:p>
        </w:tc>
        <w:tc>
          <w:tcPr>
            <w:tcW w:w="1361" w:type="dxa"/>
            <w:vAlign w:val="center"/>
          </w:tcPr>
          <w:p>
            <w:pPr>
              <w:pStyle w:val="11"/>
            </w:pPr>
          </w:p>
        </w:tc>
        <w:tc>
          <w:tcPr>
            <w:tcW w:w="1361" w:type="dxa"/>
            <w:vAlign w:val="center"/>
          </w:tcPr>
          <w:p>
            <w:pPr>
              <w:pStyle w:val="11"/>
            </w:pPr>
            <w:r>
              <w:t>38.48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33.48</w:t>
            </w:r>
          </w:p>
        </w:tc>
        <w:tc>
          <w:tcPr>
            <w:tcW w:w="1361" w:type="dxa"/>
            <w:vAlign w:val="center"/>
          </w:tcPr>
          <w:p>
            <w:pPr>
              <w:pStyle w:val="11"/>
            </w:pPr>
          </w:p>
        </w:tc>
        <w:tc>
          <w:tcPr>
            <w:tcW w:w="1361" w:type="dxa"/>
            <w:vAlign w:val="center"/>
          </w:tcPr>
          <w:p>
            <w:pPr>
              <w:pStyle w:val="11"/>
            </w:pPr>
            <w:r>
              <w:t>33.48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r>
              <w:t>424.00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40.13</w:t>
            </w:r>
          </w:p>
        </w:tc>
        <w:tc>
          <w:tcPr>
            <w:tcW w:w="1361" w:type="dxa"/>
            <w:vAlign w:val="center"/>
          </w:tcPr>
          <w:p>
            <w:pPr>
              <w:pStyle w:val="11"/>
            </w:pPr>
            <w:r>
              <w:t>40.13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1164.98</w:t>
            </w:r>
          </w:p>
        </w:tc>
        <w:tc>
          <w:tcPr>
            <w:tcW w:w="3402" w:type="dxa"/>
            <w:vAlign w:val="center"/>
          </w:tcPr>
          <w:p>
            <w:pPr>
              <w:pStyle w:val="12"/>
            </w:pPr>
            <w:r>
              <w:t>一、一般公共服务支出</w:t>
            </w:r>
          </w:p>
        </w:tc>
        <w:tc>
          <w:tcPr>
            <w:tcW w:w="1474" w:type="dxa"/>
            <w:vAlign w:val="center"/>
          </w:tcPr>
          <w:p>
            <w:pPr>
              <w:pStyle w:val="11"/>
            </w:pPr>
            <w:r>
              <w:t>515.33</w:t>
            </w:r>
          </w:p>
        </w:tc>
        <w:tc>
          <w:tcPr>
            <w:tcW w:w="1474" w:type="dxa"/>
            <w:vAlign w:val="center"/>
          </w:tcPr>
          <w:p>
            <w:pPr>
              <w:pStyle w:val="11"/>
            </w:pPr>
            <w:r>
              <w:t>515.33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108.84</w:t>
            </w:r>
          </w:p>
        </w:tc>
        <w:tc>
          <w:tcPr>
            <w:tcW w:w="1474" w:type="dxa"/>
            <w:vAlign w:val="center"/>
          </w:tcPr>
          <w:p>
            <w:pPr>
              <w:pStyle w:val="11"/>
            </w:pPr>
            <w:r>
              <w:t>108.84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38.20</w:t>
            </w:r>
          </w:p>
        </w:tc>
        <w:tc>
          <w:tcPr>
            <w:tcW w:w="1474" w:type="dxa"/>
            <w:vAlign w:val="center"/>
          </w:tcPr>
          <w:p>
            <w:pPr>
              <w:pStyle w:val="11"/>
            </w:pPr>
            <w:r>
              <w:t>38.20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38.48</w:t>
            </w:r>
          </w:p>
        </w:tc>
        <w:tc>
          <w:tcPr>
            <w:tcW w:w="1474" w:type="dxa"/>
            <w:vAlign w:val="center"/>
          </w:tcPr>
          <w:p>
            <w:pPr>
              <w:pStyle w:val="11"/>
            </w:pPr>
            <w:r>
              <w:t>38.48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424.00</w:t>
            </w:r>
          </w:p>
        </w:tc>
        <w:tc>
          <w:tcPr>
            <w:tcW w:w="1474" w:type="dxa"/>
            <w:vAlign w:val="center"/>
          </w:tcPr>
          <w:p>
            <w:pPr>
              <w:pStyle w:val="11"/>
            </w:pPr>
            <w:r>
              <w:t>424.00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40.13</w:t>
            </w:r>
          </w:p>
        </w:tc>
        <w:tc>
          <w:tcPr>
            <w:tcW w:w="1474" w:type="dxa"/>
            <w:vAlign w:val="center"/>
          </w:tcPr>
          <w:p>
            <w:pPr>
              <w:pStyle w:val="11"/>
            </w:pPr>
            <w:r>
              <w:t>40.13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1164.98</w:t>
            </w:r>
          </w:p>
        </w:tc>
        <w:tc>
          <w:tcPr>
            <w:tcW w:w="3402" w:type="dxa"/>
            <w:vAlign w:val="center"/>
          </w:tcPr>
          <w:p>
            <w:pPr>
              <w:pStyle w:val="14"/>
            </w:pPr>
            <w:r>
              <w:t>本年支出合计</w:t>
            </w:r>
          </w:p>
        </w:tc>
        <w:tc>
          <w:tcPr>
            <w:tcW w:w="1474" w:type="dxa"/>
            <w:vAlign w:val="center"/>
          </w:tcPr>
          <w:p>
            <w:pPr>
              <w:pStyle w:val="15"/>
            </w:pPr>
            <w:r>
              <w:t>1164.98</w:t>
            </w:r>
          </w:p>
        </w:tc>
        <w:tc>
          <w:tcPr>
            <w:tcW w:w="1474" w:type="dxa"/>
            <w:vAlign w:val="center"/>
          </w:tcPr>
          <w:p>
            <w:pPr>
              <w:pStyle w:val="15"/>
            </w:pPr>
            <w:r>
              <w:t>1164.98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1164.98</w:t>
            </w:r>
          </w:p>
        </w:tc>
        <w:tc>
          <w:tcPr>
            <w:tcW w:w="3402" w:type="dxa"/>
            <w:vAlign w:val="center"/>
          </w:tcPr>
          <w:p>
            <w:pPr>
              <w:pStyle w:val="14"/>
            </w:pPr>
            <w:r>
              <w:t>支出总计</w:t>
            </w:r>
          </w:p>
        </w:tc>
        <w:tc>
          <w:tcPr>
            <w:tcW w:w="1474" w:type="dxa"/>
            <w:vAlign w:val="center"/>
          </w:tcPr>
          <w:p>
            <w:pPr>
              <w:pStyle w:val="15"/>
            </w:pPr>
            <w:r>
              <w:t>1164.98</w:t>
            </w:r>
          </w:p>
        </w:tc>
        <w:tc>
          <w:tcPr>
            <w:tcW w:w="1474" w:type="dxa"/>
            <w:vAlign w:val="center"/>
          </w:tcPr>
          <w:p>
            <w:pPr>
              <w:pStyle w:val="15"/>
            </w:pPr>
            <w:r>
              <w:t>1164.98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1164.98</w:t>
            </w:r>
          </w:p>
        </w:tc>
        <w:tc>
          <w:tcPr>
            <w:tcW w:w="2551" w:type="dxa"/>
            <w:vAlign w:val="center"/>
          </w:tcPr>
          <w:p>
            <w:pPr>
              <w:pStyle w:val="15"/>
            </w:pPr>
            <w:r>
              <w:t>662.49</w:t>
            </w:r>
          </w:p>
        </w:tc>
        <w:tc>
          <w:tcPr>
            <w:tcW w:w="2551" w:type="dxa"/>
            <w:vAlign w:val="center"/>
          </w:tcPr>
          <w:p>
            <w:pPr>
              <w:pStyle w:val="15"/>
            </w:pPr>
            <w:r>
              <w:t>502.49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515.33</w:t>
            </w:r>
          </w:p>
        </w:tc>
        <w:tc>
          <w:tcPr>
            <w:tcW w:w="2551" w:type="dxa"/>
            <w:vAlign w:val="center"/>
          </w:tcPr>
          <w:p>
            <w:pPr>
              <w:pStyle w:val="11"/>
            </w:pPr>
            <w:r>
              <w:t>475.32</w:t>
            </w:r>
          </w:p>
        </w:tc>
        <w:tc>
          <w:tcPr>
            <w:tcW w:w="2551" w:type="dxa"/>
            <w:vAlign w:val="center"/>
          </w:tcPr>
          <w:p>
            <w:pPr>
              <w:pStyle w:val="11"/>
            </w:pPr>
            <w:r>
              <w:t>40.01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507.33</w:t>
            </w:r>
          </w:p>
        </w:tc>
        <w:tc>
          <w:tcPr>
            <w:tcW w:w="2551" w:type="dxa"/>
            <w:vAlign w:val="center"/>
          </w:tcPr>
          <w:p>
            <w:pPr>
              <w:pStyle w:val="11"/>
            </w:pPr>
            <w:r>
              <w:t>475.32</w:t>
            </w: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280.77</w:t>
            </w:r>
          </w:p>
        </w:tc>
        <w:tc>
          <w:tcPr>
            <w:tcW w:w="2551" w:type="dxa"/>
            <w:vAlign w:val="center"/>
          </w:tcPr>
          <w:p>
            <w:pPr>
              <w:pStyle w:val="11"/>
            </w:pPr>
            <w:r>
              <w:t>280.77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32.01</w:t>
            </w:r>
          </w:p>
        </w:tc>
        <w:tc>
          <w:tcPr>
            <w:tcW w:w="2551" w:type="dxa"/>
            <w:vAlign w:val="center"/>
          </w:tcPr>
          <w:p>
            <w:pPr>
              <w:pStyle w:val="11"/>
            </w:pP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194.55</w:t>
            </w:r>
          </w:p>
        </w:tc>
        <w:tc>
          <w:tcPr>
            <w:tcW w:w="2551" w:type="dxa"/>
            <w:vAlign w:val="center"/>
          </w:tcPr>
          <w:p>
            <w:pPr>
              <w:pStyle w:val="11"/>
            </w:pPr>
            <w:r>
              <w:t>194.55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108.84</w:t>
            </w:r>
          </w:p>
        </w:tc>
        <w:tc>
          <w:tcPr>
            <w:tcW w:w="2551" w:type="dxa"/>
            <w:vAlign w:val="center"/>
          </w:tcPr>
          <w:p>
            <w:pPr>
              <w:pStyle w:val="11"/>
            </w:pPr>
            <w:r>
              <w:t>108.84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108.84</w:t>
            </w:r>
          </w:p>
        </w:tc>
        <w:tc>
          <w:tcPr>
            <w:tcW w:w="2551" w:type="dxa"/>
            <w:vAlign w:val="center"/>
          </w:tcPr>
          <w:p>
            <w:pPr>
              <w:pStyle w:val="11"/>
            </w:pPr>
            <w:r>
              <w:t>108.84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20.18</w:t>
            </w:r>
          </w:p>
        </w:tc>
        <w:tc>
          <w:tcPr>
            <w:tcW w:w="2551" w:type="dxa"/>
            <w:vAlign w:val="center"/>
          </w:tcPr>
          <w:p>
            <w:pPr>
              <w:pStyle w:val="11"/>
            </w:pPr>
            <w:r>
              <w:t>20.18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30.48</w:t>
            </w:r>
          </w:p>
        </w:tc>
        <w:tc>
          <w:tcPr>
            <w:tcW w:w="2551" w:type="dxa"/>
            <w:vAlign w:val="center"/>
          </w:tcPr>
          <w:p>
            <w:pPr>
              <w:pStyle w:val="11"/>
            </w:pPr>
            <w:r>
              <w:t>30.48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52.97</w:t>
            </w:r>
          </w:p>
        </w:tc>
        <w:tc>
          <w:tcPr>
            <w:tcW w:w="2551" w:type="dxa"/>
            <w:vAlign w:val="center"/>
          </w:tcPr>
          <w:p>
            <w:pPr>
              <w:pStyle w:val="11"/>
            </w:pPr>
            <w:r>
              <w:t>52.97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5.21</w:t>
            </w:r>
          </w:p>
        </w:tc>
        <w:tc>
          <w:tcPr>
            <w:tcW w:w="2551" w:type="dxa"/>
            <w:vAlign w:val="center"/>
          </w:tcPr>
          <w:p>
            <w:pPr>
              <w:pStyle w:val="11"/>
            </w:pPr>
            <w:r>
              <w:t>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14.01</w:t>
            </w:r>
          </w:p>
        </w:tc>
        <w:tc>
          <w:tcPr>
            <w:tcW w:w="2551" w:type="dxa"/>
            <w:vAlign w:val="center"/>
          </w:tcPr>
          <w:p>
            <w:pPr>
              <w:pStyle w:val="11"/>
            </w:pPr>
            <w:r>
              <w:t>14.01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13.04</w:t>
            </w:r>
          </w:p>
        </w:tc>
        <w:tc>
          <w:tcPr>
            <w:tcW w:w="2551" w:type="dxa"/>
            <w:vAlign w:val="center"/>
          </w:tcPr>
          <w:p>
            <w:pPr>
              <w:pStyle w:val="11"/>
            </w:pPr>
            <w:r>
              <w:t>13.04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38.48</w:t>
            </w:r>
          </w:p>
        </w:tc>
        <w:tc>
          <w:tcPr>
            <w:tcW w:w="2551" w:type="dxa"/>
            <w:vAlign w:val="center"/>
          </w:tcPr>
          <w:p>
            <w:pPr>
              <w:pStyle w:val="11"/>
            </w:pPr>
          </w:p>
        </w:tc>
        <w:tc>
          <w:tcPr>
            <w:tcW w:w="2551" w:type="dxa"/>
            <w:vAlign w:val="center"/>
          </w:tcPr>
          <w:p>
            <w:pPr>
              <w:pStyle w:val="11"/>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33.48</w:t>
            </w:r>
          </w:p>
        </w:tc>
        <w:tc>
          <w:tcPr>
            <w:tcW w:w="2551" w:type="dxa"/>
            <w:vAlign w:val="center"/>
          </w:tcPr>
          <w:p>
            <w:pPr>
              <w:pStyle w:val="11"/>
            </w:pPr>
          </w:p>
        </w:tc>
        <w:tc>
          <w:tcPr>
            <w:tcW w:w="2551" w:type="dxa"/>
            <w:vAlign w:val="center"/>
          </w:tcPr>
          <w:p>
            <w:pPr>
              <w:pStyle w:val="11"/>
            </w:pPr>
            <w:r>
              <w:t>33.48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21.60</w:t>
            </w:r>
          </w:p>
        </w:tc>
        <w:tc>
          <w:tcPr>
            <w:tcW w:w="2551" w:type="dxa"/>
            <w:vAlign w:val="center"/>
          </w:tcPr>
          <w:p>
            <w:pPr>
              <w:pStyle w:val="11"/>
            </w:pPr>
          </w:p>
        </w:tc>
        <w:tc>
          <w:tcPr>
            <w:tcW w:w="2551" w:type="dxa"/>
            <w:vAlign w:val="center"/>
          </w:tcPr>
          <w:p>
            <w:pPr>
              <w:pStyle w:val="11"/>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424.00</w:t>
            </w:r>
          </w:p>
        </w:tc>
        <w:tc>
          <w:tcPr>
            <w:tcW w:w="2551" w:type="dxa"/>
            <w:vAlign w:val="center"/>
          </w:tcPr>
          <w:p>
            <w:pPr>
              <w:pStyle w:val="11"/>
            </w:pPr>
          </w:p>
        </w:tc>
        <w:tc>
          <w:tcPr>
            <w:tcW w:w="2551" w:type="dxa"/>
            <w:vAlign w:val="center"/>
          </w:tcPr>
          <w:p>
            <w:pPr>
              <w:pStyle w:val="11"/>
            </w:pPr>
            <w:r>
              <w:t>424.00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662.49</w:t>
            </w:r>
          </w:p>
        </w:tc>
        <w:tc>
          <w:tcPr>
            <w:tcW w:w="2551" w:type="dxa"/>
            <w:vAlign w:val="center"/>
          </w:tcPr>
          <w:p>
            <w:pPr>
              <w:pStyle w:val="15"/>
            </w:pPr>
            <w:r>
              <w:t>600.60</w:t>
            </w:r>
          </w:p>
        </w:tc>
        <w:tc>
          <w:tcPr>
            <w:tcW w:w="2551" w:type="dxa"/>
            <w:vAlign w:val="center"/>
          </w:tcPr>
          <w:p>
            <w:pPr>
              <w:pStyle w:val="15"/>
            </w:pPr>
            <w:r>
              <w:t>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546.27</w:t>
            </w:r>
          </w:p>
        </w:tc>
        <w:tc>
          <w:tcPr>
            <w:tcW w:w="2551" w:type="dxa"/>
            <w:vAlign w:val="center"/>
          </w:tcPr>
          <w:p>
            <w:pPr>
              <w:pStyle w:val="11"/>
            </w:pPr>
            <w:r>
              <w:t>546.27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211.37</w:t>
            </w:r>
          </w:p>
        </w:tc>
        <w:tc>
          <w:tcPr>
            <w:tcW w:w="2551" w:type="dxa"/>
            <w:vAlign w:val="center"/>
          </w:tcPr>
          <w:p>
            <w:pPr>
              <w:pStyle w:val="11"/>
            </w:pPr>
            <w:r>
              <w:t>211.37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91.21</w:t>
            </w:r>
          </w:p>
        </w:tc>
        <w:tc>
          <w:tcPr>
            <w:tcW w:w="2551" w:type="dxa"/>
            <w:vAlign w:val="center"/>
          </w:tcPr>
          <w:p>
            <w:pPr>
              <w:pStyle w:val="11"/>
            </w:pPr>
            <w:r>
              <w:t>91.21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40.07</w:t>
            </w:r>
          </w:p>
        </w:tc>
        <w:tc>
          <w:tcPr>
            <w:tcW w:w="2551" w:type="dxa"/>
            <w:vAlign w:val="center"/>
          </w:tcPr>
          <w:p>
            <w:pPr>
              <w:pStyle w:val="11"/>
            </w:pPr>
            <w:r>
              <w:t>40.07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64.06</w:t>
            </w:r>
          </w:p>
        </w:tc>
        <w:tc>
          <w:tcPr>
            <w:tcW w:w="2551" w:type="dxa"/>
            <w:vAlign w:val="center"/>
          </w:tcPr>
          <w:p>
            <w:pPr>
              <w:pStyle w:val="11"/>
            </w:pPr>
            <w:r>
              <w:t>64.06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52.97</w:t>
            </w:r>
          </w:p>
        </w:tc>
        <w:tc>
          <w:tcPr>
            <w:tcW w:w="2551" w:type="dxa"/>
            <w:vAlign w:val="center"/>
          </w:tcPr>
          <w:p>
            <w:pPr>
              <w:pStyle w:val="11"/>
            </w:pPr>
            <w:r>
              <w:t>52.97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5.21</w:t>
            </w:r>
          </w:p>
        </w:tc>
        <w:tc>
          <w:tcPr>
            <w:tcW w:w="2551" w:type="dxa"/>
            <w:vAlign w:val="center"/>
          </w:tcPr>
          <w:p>
            <w:pPr>
              <w:pStyle w:val="11"/>
            </w:pPr>
            <w:r>
              <w:t>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27.05</w:t>
            </w:r>
          </w:p>
        </w:tc>
        <w:tc>
          <w:tcPr>
            <w:tcW w:w="2551" w:type="dxa"/>
            <w:vAlign w:val="center"/>
          </w:tcPr>
          <w:p>
            <w:pPr>
              <w:pStyle w:val="11"/>
            </w:pPr>
            <w:r>
              <w:t>27.05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40.13</w:t>
            </w:r>
          </w:p>
        </w:tc>
        <w:tc>
          <w:tcPr>
            <w:tcW w:w="2551" w:type="dxa"/>
            <w:vAlign w:val="center"/>
          </w:tcPr>
          <w:p>
            <w:pPr>
              <w:pStyle w:val="11"/>
            </w:pPr>
            <w:r>
              <w:t>40.13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61.89</w:t>
            </w:r>
          </w:p>
        </w:tc>
        <w:tc>
          <w:tcPr>
            <w:tcW w:w="2551" w:type="dxa"/>
            <w:vAlign w:val="center"/>
          </w:tcPr>
          <w:p>
            <w:pPr>
              <w:pStyle w:val="11"/>
            </w:pPr>
          </w:p>
        </w:tc>
        <w:tc>
          <w:tcPr>
            <w:tcW w:w="2551" w:type="dxa"/>
            <w:vAlign w:val="center"/>
          </w:tcPr>
          <w:p>
            <w:pPr>
              <w:pStyle w:val="11"/>
            </w:pPr>
            <w:r>
              <w:t>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7.88</w:t>
            </w:r>
          </w:p>
        </w:tc>
        <w:tc>
          <w:tcPr>
            <w:tcW w:w="2551" w:type="dxa"/>
            <w:vAlign w:val="center"/>
          </w:tcPr>
          <w:p>
            <w:pPr>
              <w:pStyle w:val="11"/>
            </w:pPr>
          </w:p>
        </w:tc>
        <w:tc>
          <w:tcPr>
            <w:tcW w:w="2551" w:type="dxa"/>
            <w:vAlign w:val="center"/>
          </w:tcPr>
          <w:p>
            <w:pPr>
              <w:pStyle w:val="11"/>
            </w:pPr>
            <w:r>
              <w:t>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19.44</w:t>
            </w:r>
          </w:p>
        </w:tc>
        <w:tc>
          <w:tcPr>
            <w:tcW w:w="2551" w:type="dxa"/>
            <w:vAlign w:val="center"/>
          </w:tcPr>
          <w:p>
            <w:pPr>
              <w:pStyle w:val="11"/>
            </w:pPr>
          </w:p>
        </w:tc>
        <w:tc>
          <w:tcPr>
            <w:tcW w:w="2551" w:type="dxa"/>
            <w:vAlign w:val="center"/>
          </w:tcPr>
          <w:p>
            <w:pPr>
              <w:pStyle w:val="11"/>
            </w:pPr>
            <w:r>
              <w:t>19.44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54.33</w:t>
            </w:r>
          </w:p>
        </w:tc>
        <w:tc>
          <w:tcPr>
            <w:tcW w:w="2551" w:type="dxa"/>
            <w:vAlign w:val="center"/>
          </w:tcPr>
          <w:p>
            <w:pPr>
              <w:pStyle w:val="11"/>
            </w:pPr>
            <w:r>
              <w:t>54.33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986曲阳县燕赵镇人民政府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曲阳县燕赵镇人民政府2025年部门预算信息公开情况说明</w:t>
      </w:r>
    </w:p>
    <w:p>
      <w:pPr>
        <w:jc w:val="center"/>
      </w:pPr>
      <w:r>
        <w:rPr>
          <w:rFonts w:ascii="方正小标宋_GBK" w:hAnsi="方正小标宋_GBK" w:eastAsia="方正小标宋_GBK" w:cs="方正小标宋_GBK"/>
          <w:color w:val="000000"/>
          <w:sz w:val="44"/>
        </w:rPr>
        <w:t>曲阳县燕赵镇人民政府2025年部门预算信息公开情况说明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按照《中华人民共和国预算法》、《地方预决算公开操作规程》和《关于进一步推进预算公开工作的实施意见》规定，现将曲阳县燕赵镇人民政府2025年部门预算公开如下：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7"/>
      </w:pPr>
      <w:r>
        <w:t>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曲阳县燕赵镇人民政府本级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按照预算管理有关规定，目前部门预算的编制实行综合预算管理，即全部收入和支出都反映在预算中。曲阳县燕赵镇人民政府机关及所属事业单位的收支包含在部门预算中。</w:t>
      </w:r>
    </w:p>
    <w:p>
      <w:pPr>
        <w:pStyle w:val="18"/>
      </w:pPr>
      <w:r>
        <w:t>1、收入说明</w:t>
      </w:r>
    </w:p>
    <w:p>
      <w:pPr>
        <w:pStyle w:val="18"/>
      </w:pPr>
      <w:r>
        <w:t>反映本部门当年全部收入。2025年预算收入1164.98万元，其中：一般公共预算收入1164.98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燕赵镇人民政府年度部门预算中支出预算的总体情况。2025年支出预算1164.98万元，其中基本支出662.49万元，包括人员经费600.60万元和日常公用经费61.89万元；项目支出502.49万元，主要为燕赵镇正常离任村干部生活补贴15万元，燕赵镇生态护林员补助经费11.88万元；燕赵镇网格员生活补贴21.6万元；燕赵镇服务群众专项经费110万元；燕赵镇村级组织运转经费264万元；燕赵镇综合管理专项经费10.50万元；燕赵镇环境整治（人居环境）专项经费3万元；燕赵镇秸秆禁烧（森林防火）经费2万元；燕赵镇征兵工作经费2万元；燕赵镇村党组织活动经费35万元；燕赵镇涉军公益岗人员经费18.51万元；燕赵镇防返贫监测经费1万元；燕赵镇下沉工作对经费8万元。</w:t>
      </w:r>
    </w:p>
    <w:p>
      <w:pPr>
        <w:pStyle w:val="18"/>
      </w:pPr>
      <w:r>
        <w:t>3、比上年增减情况</w:t>
      </w:r>
    </w:p>
    <w:p>
      <w:pPr>
        <w:pStyle w:val="18"/>
      </w:pPr>
      <w:r>
        <w:t>2025年预算收支安排1164.98万元，较2024年预算增加12.26万元，其中：基本支出增加5.71万元，主要为2025年度行政人员增加1人，故人员工资、各类保险、公积金增加，日常公用公务交通补贴、办公费、福利费等也相应增加。项目支出增加6.55万元，主要为燕赵镇正常离任村干部生活补贴较去年减少2.02元，燕赵镇生态护林员补助经费较去年减少0.99元；燕赵镇网格员生活补贴较去年减少1.8万元。因为村级党员人数有变动，燕赵镇村党组织活动经费较去年增加0.1万元；因为2025年涉军公益岗工资及保险均有提高，燕赵镇涉军公益岗人员经费较去年增加3.26万；燕赵镇下沉工作队经费8万元，较去年增加8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2025年，我部门机关运行经费共计安排61.89万元，主要用于日常维修、办公用房水电费、办公用房取暖费、办公用房物业管理费等日常运行支出。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0.00万元，其中因公出国（境）费0.00万元；公务用车购置及运维费0.00万元（其中：公务用车购置费为0.00万元，公务用车运维费0.00万元)；公务接待费0.00万元。与2024年相比减少2.40万元，增减变化的主要原因是我部门公车已经报废，2025年无“三公”经费预算。</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2025年为保障全镇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2"/>
      </w:pPr>
      <w:r>
        <w:t>1、政务管理项目。我单位根据要求组织2025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4个项目，预算安排资金32.01万元。绩效目标完成情况：</w:t>
      </w:r>
    </w:p>
    <w:p>
      <w:pPr>
        <w:pStyle w:val="22"/>
      </w:pPr>
      <w:r>
        <w:t>（1）产出指标。综合事务工作落实到位率、综合事务工作完成及时率、完成工作项数、征兵工作完成率、征兵工作完成及时率、公益岗补贴发放覆盖率、监测工作完成率、监测工作完成及时率、年度指标值均达到90%以上。</w:t>
      </w:r>
    </w:p>
    <w:p>
      <w:pPr>
        <w:pStyle w:val="22"/>
      </w:pPr>
      <w:r>
        <w:t>（2）效益指标。综合事务保障率、征兵政策知晓率、公益岗补贴月发放及时率年度指标值为95%。</w:t>
      </w:r>
    </w:p>
    <w:p>
      <w:pPr>
        <w:pStyle w:val="22"/>
      </w:pPr>
      <w:r>
        <w:t>（3）满意度指标。服务对象满意度，年度指标值≥95%。</w:t>
      </w:r>
    </w:p>
    <w:p>
      <w:pPr>
        <w:pStyle w:val="22"/>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4个项目县级预算安排资金424万元。绩效目标完成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（2）效益指标。后备党员干部增长率达到2%、对离任村干部的认知率、村级组织运转经费保障率达到90%以上、村级公共服务水平提升率达到8%</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2025年县级预算安排1个项目，安排资金2万元。绩效目标完成情况：</w:t>
      </w:r>
    </w:p>
    <w:p>
      <w:pPr>
        <w:pStyle w:val="22"/>
      </w:pPr>
      <w:r>
        <w:t>（1）产出指标。要求秸秆禁烧、森林防火零发生，防范秸秆禁烧、防火工作时限8个月、防火工作经费总成本≤2万元。</w:t>
      </w:r>
    </w:p>
    <w:p>
      <w:pPr>
        <w:pStyle w:val="22"/>
      </w:pPr>
      <w:r>
        <w:t>（2）效益指标。秸秆禁烧森林防火政策知晓率年度指标值≥95%</w:t>
      </w:r>
    </w:p>
    <w:p>
      <w:pPr>
        <w:pStyle w:val="22"/>
      </w:pPr>
      <w:r>
        <w:t>（3）满意度指标。服务对象满意度，年度指标值≥95%。</w:t>
      </w:r>
    </w:p>
    <w:p>
      <w:pPr>
        <w:pStyle w:val="22"/>
      </w:pPr>
      <w:r>
        <w:t>4、自然生态环境保护项目。预算安排36名网格员的生活补贴，使其更认真负责开展工作，对网格责任辖区内污染源底数及变化情况进行调查、宣传环境保护法律法规及相关环保知识等。2025年县级预算安排1个项目，安排资金21.6万元。绩效目标完成情况：</w:t>
      </w:r>
    </w:p>
    <w:p>
      <w:pPr>
        <w:pStyle w:val="22"/>
      </w:pPr>
      <w:r>
        <w:t>（1）产出指标。安排36名网格员的生活补贴，使其更认真负责开展工作。补助金发放到位率、排查风险及时率、村容村貌环境整洁率、环境整治工作完成及时率年度指标值90%以上。</w:t>
      </w:r>
    </w:p>
    <w:p>
      <w:pPr>
        <w:pStyle w:val="22"/>
      </w:pPr>
      <w:r>
        <w:t>（2）效益指标。环保政策宣传知晓率，年度指标值90%以上。</w:t>
      </w:r>
    </w:p>
    <w:p>
      <w:pPr>
        <w:pStyle w:val="22"/>
      </w:pPr>
      <w:r>
        <w:t>（3）满意度指标。服务对象满意度，年度指标值≥95%。</w:t>
      </w:r>
    </w:p>
    <w:p>
      <w:pPr>
        <w:pStyle w:val="22"/>
      </w:pPr>
      <w:r>
        <w:t>5、林业生态建设项目。为保障15人生态护林员人员权益，生态护林员对管护区森林资源进行维护，保护管护区内林业资源。主要用于我镇护林员发放生活补助，使其安心工作。2025年县级预算安排1个项目，安排资金11.88万元。绩效目标完成情况：</w:t>
      </w:r>
    </w:p>
    <w:p>
      <w:pPr>
        <w:pStyle w:val="22"/>
      </w:pPr>
      <w:r>
        <w:t>（1）产出指标。护林员日常巡查覆盖率及护林员日常巡查及时率95%以上。</w:t>
      </w:r>
    </w:p>
    <w:p>
      <w:pPr>
        <w:pStyle w:val="22"/>
      </w:pPr>
      <w:r>
        <w:t>（2）效益指标。管护区内林业资源保护显著提升。</w:t>
      </w:r>
    </w:p>
    <w:p>
      <w:pPr>
        <w:pStyle w:val="22"/>
      </w:pPr>
      <w:r>
        <w:t>（3）满意度指标。服务对象满意度，年度指标值≥95%。</w:t>
      </w:r>
    </w:p>
    <w:p>
      <w:pPr>
        <w:pStyle w:val="22"/>
      </w:pPr>
      <w:r>
        <w:t>6.下沉工作队经费项目。根据全县党建工作需要，认真落实党建和强化基层组织的工作需要，针对党组织软弱涣散、经济发展滞后、信访问题突出、宗教工作任务重的村进行县级干部下沉帮扶指导。主要用于我镇下沉工作队在驻村期间的生活补助、办公费、交通费等。2025年县级预算安排1个项目，安排资金8万元。绩效目标完成情况：</w:t>
      </w:r>
    </w:p>
    <w:p>
      <w:pPr>
        <w:pStyle w:val="22"/>
      </w:pPr>
      <w:r>
        <w:t>（1）产出指标。下沉工作队工作完成及时率及下沉工作队工作落实到位率90%以上</w:t>
      </w:r>
    </w:p>
    <w:p>
      <w:pPr>
        <w:pStyle w:val="22"/>
      </w:pPr>
      <w:r>
        <w:t>（2）效益指标。村级服务水平况显著提升</w:t>
      </w:r>
    </w:p>
    <w:p>
      <w:pPr>
        <w:pStyle w:val="22"/>
      </w:pPr>
      <w:r>
        <w:t>（3）满意度指标。服务对象满意度，年度指标值≥95%。</w:t>
      </w:r>
    </w:p>
    <w:p>
      <w:pPr>
        <w:pStyle w:val="22"/>
      </w:pPr>
      <w:r>
        <w:t>7.环境人居整治项目。根据县委、县政府关于做好2025年度环境整治（人居环境）的要求，安排环境人居整治项目用于我镇境整治（人居环境）中提升村民居住环境、绿化美化村容村貌等工作。2025年县级预算安排1个项目，安排资金3万元。绩效目标完成情况：</w:t>
      </w:r>
    </w:p>
    <w:p>
      <w:pPr>
        <w:pStyle w:val="22"/>
      </w:pPr>
      <w:r>
        <w:t>（1）产出指标。村容村貌环境整洁率及环境整治工作完成及时率90%以上</w:t>
      </w:r>
    </w:p>
    <w:p>
      <w:pPr>
        <w:pStyle w:val="22"/>
      </w:pPr>
      <w:r>
        <w:t>（2）效益指标。 村容村貌环境有效提升</w:t>
      </w:r>
    </w:p>
    <w:p>
      <w:pPr>
        <w:pStyle w:val="22"/>
      </w:pPr>
      <w:r>
        <w:t>（3）满意度指标。服务对象满意度，年度指标值≥95%</w:t>
      </w:r>
    </w:p>
    <w:p>
      <w:pPr>
        <w:pStyle w:val="22"/>
      </w:pPr>
      <w:r>
        <w:t> </w:t>
      </w:r>
      <w:r>
        <w:rPr>
          <w:color w:val="000000"/>
        </w:rPr>
        <w:t>（三）工作保障措施</w:t>
      </w:r>
    </w:p>
    <w:p>
      <w:pPr>
        <w:pStyle w:val="23"/>
      </w:pPr>
      <w:r>
        <w:t>1、加强组织领导，确保绩效管理体制健全</w:t>
      </w:r>
    </w:p>
    <w:p>
      <w:pPr>
        <w:pStyle w:val="23"/>
      </w:pPr>
      <w:r>
        <w:t>我镇党委高度重视预算绩效工作，为全面加强我单位绩效管理，我单位已形成“一把手亲自抓，部门严格落实”的工作机制，建立绩效管理体系，保证预算绩效工作健康有序发展。</w:t>
      </w:r>
    </w:p>
    <w:p>
      <w:pPr>
        <w:pStyle w:val="23"/>
      </w:pPr>
      <w:r>
        <w:t>2、加强对新任村干部的教育培训，增强村干部的工作水平</w:t>
      </w:r>
    </w:p>
    <w:p>
      <w:pPr>
        <w:pStyle w:val="23"/>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3"/>
        <w:sectPr>
          <w:pgSz w:w="16840" w:h="11900" w:orient="landscape"/>
          <w:pgMar w:top="1361" w:right="1020" w:bottom="1361" w:left="1020" w:header="720" w:footer="720" w:gutter="0"/>
          <w:cols w:space="720" w:num="1"/>
        </w:sectPr>
      </w:pPr>
      <w:r>
        <w:t>3、建立和完善我乡网格员和生态护林员的日常管理和奖罚考核制度 我镇加强网格员和护林员的日常管理和奖罚制度，调动其积极性充分发挥乡村网格员、态护林员作用，在生态环境治理上见实效。坚定绿水青山就是金山银山的执政理念，坚持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1、燕赵镇村党组织活动经费绩效目标表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13063425P00GFMB102944</w:t>
            </w:r>
          </w:p>
        </w:tc>
        <w:tc>
          <w:tcPr>
            <w:tcW w:w="2835" w:type="dxa"/>
            <w:vAlign w:val="center"/>
          </w:tcPr>
          <w:p>
            <w:pPr>
              <w:pStyle w:val="10"/>
            </w:pPr>
            <w:r>
              <w:t>项目名称</w:t>
            </w:r>
          </w:p>
        </w:tc>
        <w:tc>
          <w:tcPr>
            <w:tcW w:w="6095" w:type="dxa"/>
            <w:gridSpan w:val="3"/>
            <w:vAlign w:val="center"/>
          </w:tcPr>
          <w:p>
            <w:pPr>
              <w:pStyle w:val="12"/>
            </w:pPr>
            <w:r>
              <w:t>燕赵镇村党组织活动经费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预算数35万元，其中县级财政资金35万元。主要用于村级党员教育培训、慰问困难党员支出。按进度拨付资金。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r>
              <w:tab/>
            </w:r>
            <w:r>
              <w:tab/>
            </w:r>
            <w:r>
              <w:tab/>
            </w:r>
          </w:p>
          <w:p>
            <w:pPr>
              <w:pStyle w:val="12"/>
            </w:pPr>
          </w:p>
          <w:p>
            <w:pPr>
              <w:pStyle w:val="12"/>
            </w:pPr>
            <w:r>
              <w:t>2.通过开展“三会一课”、主题党日、党员教育培训等活动，提高基层党建工作质量、提升组织凝聚力、激发党员的先锋模范作用。</w:t>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color w:val="000000"/>
          <w:sz w:val="28"/>
        </w:rPr>
        <w:t>2、燕赵镇村级组织运转经费绩效目标表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13063425P00GFMB10292W</w:t>
            </w:r>
          </w:p>
        </w:tc>
        <w:tc>
          <w:tcPr>
            <w:tcW w:w="2835" w:type="dxa"/>
            <w:vAlign w:val="center"/>
          </w:tcPr>
          <w:p>
            <w:pPr>
              <w:pStyle w:val="10"/>
            </w:pPr>
            <w:r>
              <w:t>项目名称</w:t>
            </w:r>
          </w:p>
        </w:tc>
        <w:tc>
          <w:tcPr>
            <w:tcW w:w="6095" w:type="dxa"/>
            <w:gridSpan w:val="3"/>
            <w:vAlign w:val="center"/>
          </w:tcPr>
          <w:p>
            <w:pPr>
              <w:pStyle w:val="12"/>
            </w:pPr>
            <w:r>
              <w:t>燕赵镇村级组织运转经费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264.00</w:t>
            </w:r>
          </w:p>
        </w:tc>
        <w:tc>
          <w:tcPr>
            <w:tcW w:w="2835" w:type="dxa"/>
            <w:vAlign w:val="center"/>
          </w:tcPr>
          <w:p>
            <w:pPr>
              <w:pStyle w:val="10"/>
            </w:pPr>
            <w:r>
              <w:t>其中：财政    资金</w:t>
            </w:r>
          </w:p>
        </w:tc>
        <w:tc>
          <w:tcPr>
            <w:tcW w:w="2551" w:type="dxa"/>
            <w:vAlign w:val="center"/>
          </w:tcPr>
          <w:p>
            <w:pPr>
              <w:pStyle w:val="12"/>
            </w:pPr>
            <w:r>
              <w:t>264.00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预算数264万元，其中县级财政资金264万元，主要用于发放村干部工资及拨付经费保障村级正常运转。按进度拨付资金。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66.00</w:t>
            </w:r>
          </w:p>
        </w:tc>
        <w:tc>
          <w:tcPr>
            <w:tcW w:w="2835" w:type="dxa"/>
            <w:vAlign w:val="center"/>
          </w:tcPr>
          <w:p>
            <w:pPr>
              <w:pStyle w:val="13"/>
            </w:pPr>
            <w:r>
              <w:t>132.00</w:t>
            </w:r>
          </w:p>
        </w:tc>
        <w:tc>
          <w:tcPr>
            <w:tcW w:w="2551" w:type="dxa"/>
            <w:vAlign w:val="center"/>
          </w:tcPr>
          <w:p>
            <w:pPr>
              <w:pStyle w:val="13"/>
            </w:pPr>
            <w:r>
              <w:t>198.00</w:t>
            </w:r>
          </w:p>
        </w:tc>
        <w:tc>
          <w:tcPr>
            <w:tcW w:w="3544" w:type="dxa"/>
            <w:gridSpan w:val="2"/>
            <w:vAlign w:val="center"/>
          </w:tcPr>
          <w:p>
            <w:pPr>
              <w:pStyle w:val="13"/>
            </w:pPr>
            <w:r>
              <w:t>264.00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lang w:eastAsia="zh-CN"/>
              </w:rPr>
            </w:pPr>
            <w:r>
              <w:t>1.通过及时发放村干部工资，稳定干部队伍，提高村级执政能力。</w:t>
            </w:r>
            <w:r>
              <w:tab/>
            </w:r>
            <w:r>
              <w:tab/>
            </w:r>
            <w:r>
              <w:tab/>
            </w:r>
          </w:p>
          <w:p>
            <w:pPr>
              <w:pStyle w:val="12"/>
              <w:rPr>
                <w:rFonts w:hint="eastAsia"/>
                <w:lang w:eastAsia="zh-CN"/>
              </w:rPr>
            </w:pPr>
            <w:r>
              <w:t>2.通过及时拨付村级经费，保证村级两委、为民服务场所正常运转，提高村级事务处理水平。</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134人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3、燕赵镇防返贫监测预警工作经费绩效目标表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13063425P00427310102J</w:t>
            </w:r>
          </w:p>
        </w:tc>
        <w:tc>
          <w:tcPr>
            <w:tcW w:w="2835" w:type="dxa"/>
            <w:vAlign w:val="center"/>
          </w:tcPr>
          <w:p>
            <w:pPr>
              <w:pStyle w:val="10"/>
            </w:pPr>
            <w:r>
              <w:t>项目名称</w:t>
            </w:r>
          </w:p>
        </w:tc>
        <w:tc>
          <w:tcPr>
            <w:tcW w:w="6095" w:type="dxa"/>
            <w:gridSpan w:val="3"/>
            <w:vAlign w:val="center"/>
          </w:tcPr>
          <w:p>
            <w:pPr>
              <w:pStyle w:val="12"/>
            </w:pPr>
            <w:r>
              <w:t>燕赵镇防返贫监测预警工作经费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w:t>
            </w:r>
            <w:r>
              <w:rPr>
                <w:rFonts w:hint="eastAsia"/>
                <w:lang w:eastAsia="zh-CN"/>
              </w:rPr>
              <w:t>1万</w:t>
            </w:r>
            <w:r>
              <w:t>元，其中县级资金</w:t>
            </w:r>
            <w:r>
              <w:rPr>
                <w:rFonts w:hint="eastAsia"/>
                <w:lang w:eastAsia="zh-CN"/>
              </w:rPr>
              <w:t>1万</w:t>
            </w:r>
            <w:r>
              <w:t>元，主要用于我镇防返贫预警监测工作费用支出，按工作开展情况拨付资金。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lang w:eastAsia="zh-CN"/>
              </w:rPr>
            </w:pPr>
            <w:r>
              <w:t>1.通过开展防返贫监测预警工作，对监测帮扶对象采取有针对性的预防性措施和事后帮扶措施</w:t>
            </w:r>
            <w:r>
              <w:tab/>
            </w:r>
            <w:r>
              <w:tab/>
            </w:r>
            <w:r>
              <w:tab/>
            </w:r>
          </w:p>
          <w:p>
            <w:pPr>
              <w:pStyle w:val="12"/>
              <w:rPr>
                <w:rFonts w:hint="eastAsia"/>
                <w:lang w:eastAsia="zh-CN"/>
              </w:rPr>
            </w:pPr>
            <w:r>
              <w:t>2.通过开展防返贫监测预警工作，健全防止返贫致贫监测和帮扶机制，加强监测预警，强化及时帮扶</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≥138人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w:t>
            </w:r>
            <w:r>
              <w:rPr>
                <w:rFonts w:hint="eastAsia"/>
                <w:lang w:eastAsia="zh-CN"/>
              </w:rPr>
              <w:t>监测</w:t>
            </w:r>
            <w:r>
              <w:t>人均成本</w:t>
            </w:r>
          </w:p>
        </w:tc>
        <w:tc>
          <w:tcPr>
            <w:tcW w:w="2268" w:type="dxa"/>
            <w:vAlign w:val="center"/>
          </w:tcPr>
          <w:p>
            <w:pPr>
              <w:pStyle w:val="12"/>
            </w:pPr>
            <w:r>
              <w:t>≤76.9元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4、燕赵镇服务群众专项经费绩效目标表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13063425P00GFMB10293G</w:t>
            </w:r>
          </w:p>
        </w:tc>
        <w:tc>
          <w:tcPr>
            <w:tcW w:w="2835" w:type="dxa"/>
            <w:vAlign w:val="center"/>
          </w:tcPr>
          <w:p>
            <w:pPr>
              <w:pStyle w:val="10"/>
            </w:pPr>
            <w:r>
              <w:t>项目名称</w:t>
            </w:r>
          </w:p>
        </w:tc>
        <w:tc>
          <w:tcPr>
            <w:tcW w:w="6095" w:type="dxa"/>
            <w:gridSpan w:val="3"/>
            <w:vAlign w:val="center"/>
          </w:tcPr>
          <w:p>
            <w:pPr>
              <w:pStyle w:val="12"/>
            </w:pPr>
            <w:r>
              <w:t>燕赵镇服务群众专项经费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预算数110万元，其中县级财政资金110万元。主要用于保障村级服务群众支出。按工作开展情况拨付资金。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4" w:type="dxa"/>
            <w:gridSpan w:val="2"/>
            <w:vAlign w:val="center"/>
          </w:tcPr>
          <w:p>
            <w:pPr>
              <w:pStyle w:val="13"/>
            </w:pPr>
            <w:r>
              <w:t>110.00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lang w:eastAsia="zh-CN"/>
              </w:rPr>
            </w:pPr>
            <w:r>
              <w:t>1.通过服务群众专项工作，保障村级服务群众的必要支出，保障村综合服务站正常运转。</w:t>
            </w:r>
            <w:r>
              <w:tab/>
            </w:r>
            <w:r>
              <w:tab/>
            </w:r>
            <w:r>
              <w:tab/>
            </w:r>
          </w:p>
          <w:p>
            <w:pPr>
              <w:pStyle w:val="12"/>
              <w:rPr>
                <w:rFonts w:hint="eastAsia"/>
                <w:lang w:eastAsia="zh-CN"/>
              </w:rPr>
            </w:pPr>
            <w:r>
              <w:t>2.通过服务群众专项工作，保障公共设施维护、公共卫生防疫、村内治安、服务群众生产生活的临时劳务用工的开支。</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5、燕赵镇环境整治（人居环境）专项经费绩效目标表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13063425P00427310101Y</w:t>
            </w:r>
          </w:p>
        </w:tc>
        <w:tc>
          <w:tcPr>
            <w:tcW w:w="2835" w:type="dxa"/>
            <w:vAlign w:val="center"/>
          </w:tcPr>
          <w:p>
            <w:pPr>
              <w:pStyle w:val="10"/>
            </w:pPr>
            <w:r>
              <w:t>项目名称</w:t>
            </w:r>
          </w:p>
        </w:tc>
        <w:tc>
          <w:tcPr>
            <w:tcW w:w="6095" w:type="dxa"/>
            <w:gridSpan w:val="3"/>
            <w:vAlign w:val="center"/>
          </w:tcPr>
          <w:p>
            <w:pPr>
              <w:pStyle w:val="12"/>
            </w:pPr>
            <w:r>
              <w:t>燕赵镇环境整治（人居环境）专项经费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lang w:eastAsia="zh-CN"/>
              </w:rPr>
            </w:pPr>
            <w:r>
              <w:t>预算资金3万元，其中县级资金3万元，主要用于燕赵镇人居环境整治，按工作开展情况拨付资金。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≤1363元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村容村貌环境提升情况</w:t>
            </w:r>
          </w:p>
        </w:tc>
        <w:tc>
          <w:tcPr>
            <w:tcW w:w="5386" w:type="dxa"/>
            <w:vAlign w:val="center"/>
          </w:tcPr>
          <w:p>
            <w:pPr>
              <w:pStyle w:val="12"/>
            </w:pPr>
            <w:r>
              <w:t>村容村貌环境较上年提升情况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6、燕赵镇秸秆禁烧（森林防火）经费绩效目标表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13063425P00427310100B</w:t>
            </w:r>
          </w:p>
        </w:tc>
        <w:tc>
          <w:tcPr>
            <w:tcW w:w="2835" w:type="dxa"/>
            <w:vAlign w:val="center"/>
          </w:tcPr>
          <w:p>
            <w:pPr>
              <w:pStyle w:val="10"/>
            </w:pPr>
            <w:r>
              <w:t>项目名称</w:t>
            </w:r>
          </w:p>
        </w:tc>
        <w:tc>
          <w:tcPr>
            <w:tcW w:w="6095" w:type="dxa"/>
            <w:gridSpan w:val="3"/>
            <w:vAlign w:val="center"/>
          </w:tcPr>
          <w:p>
            <w:pPr>
              <w:pStyle w:val="12"/>
            </w:pPr>
            <w:r>
              <w:t>燕赵镇秸秆禁烧（森林防火）经费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w:t>
            </w:r>
            <w:r>
              <w:rPr>
                <w:rFonts w:hint="eastAsia"/>
                <w:lang w:eastAsia="zh-CN"/>
              </w:rPr>
              <w:t>2万</w:t>
            </w:r>
            <w:r>
              <w:t>元，其中县级资金</w:t>
            </w:r>
            <w:r>
              <w:rPr>
                <w:rFonts w:hint="eastAsia"/>
                <w:lang w:eastAsia="zh-CN"/>
              </w:rPr>
              <w:t>2万</w:t>
            </w:r>
            <w:r>
              <w:t>元，主要用于我镇秸秆禁烧，森林防火工作费用支出，按工作开展情况拨付资金。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lang w:eastAsia="zh-CN"/>
              </w:rPr>
              <w:t>1.</w:t>
            </w:r>
            <w:r>
              <w:t>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≤909元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7、燕赵镇涉军公益岗人员经费绩效目标表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13063425P004C4910322N</w:t>
            </w:r>
          </w:p>
        </w:tc>
        <w:tc>
          <w:tcPr>
            <w:tcW w:w="2835" w:type="dxa"/>
            <w:vAlign w:val="center"/>
          </w:tcPr>
          <w:p>
            <w:pPr>
              <w:pStyle w:val="10"/>
            </w:pPr>
            <w:r>
              <w:t>项目名称</w:t>
            </w:r>
          </w:p>
        </w:tc>
        <w:tc>
          <w:tcPr>
            <w:tcW w:w="6095" w:type="dxa"/>
            <w:gridSpan w:val="3"/>
            <w:vAlign w:val="center"/>
          </w:tcPr>
          <w:p>
            <w:pPr>
              <w:pStyle w:val="12"/>
            </w:pPr>
            <w:r>
              <w:t>燕赵镇涉军公益岗人员经费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18.51</w:t>
            </w:r>
          </w:p>
        </w:tc>
        <w:tc>
          <w:tcPr>
            <w:tcW w:w="2835" w:type="dxa"/>
            <w:vAlign w:val="center"/>
          </w:tcPr>
          <w:p>
            <w:pPr>
              <w:pStyle w:val="10"/>
            </w:pPr>
            <w:r>
              <w:t>其中：财政    资金</w:t>
            </w:r>
          </w:p>
        </w:tc>
        <w:tc>
          <w:tcPr>
            <w:tcW w:w="2551" w:type="dxa"/>
            <w:vAlign w:val="center"/>
          </w:tcPr>
          <w:p>
            <w:pPr>
              <w:pStyle w:val="12"/>
            </w:pPr>
            <w:r>
              <w:t>18.51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预算安排18.51万元，其中县级资金18.51万。主要用于发放涉军公益岗人员工资及保险，按月拨付资金。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4.63</w:t>
            </w:r>
          </w:p>
        </w:tc>
        <w:tc>
          <w:tcPr>
            <w:tcW w:w="2835" w:type="dxa"/>
            <w:vAlign w:val="center"/>
          </w:tcPr>
          <w:p>
            <w:pPr>
              <w:pStyle w:val="13"/>
            </w:pPr>
            <w:r>
              <w:t>9.26</w:t>
            </w:r>
          </w:p>
        </w:tc>
        <w:tc>
          <w:tcPr>
            <w:tcW w:w="2551" w:type="dxa"/>
            <w:vAlign w:val="center"/>
          </w:tcPr>
          <w:p>
            <w:pPr>
              <w:pStyle w:val="13"/>
            </w:pPr>
            <w:r>
              <w:t>13.88</w:t>
            </w:r>
          </w:p>
        </w:tc>
        <w:tc>
          <w:tcPr>
            <w:tcW w:w="3544" w:type="dxa"/>
            <w:gridSpan w:val="2"/>
            <w:vAlign w:val="center"/>
          </w:tcPr>
          <w:p>
            <w:pPr>
              <w:pStyle w:val="13"/>
            </w:pPr>
            <w:r>
              <w:t>18.51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rPr>
                <w:rFonts w:hint="eastAsia"/>
                <w:lang w:eastAsia="zh-CN"/>
              </w:rPr>
              <w:t>.</w:t>
            </w:r>
            <w:r>
              <w:t>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≥2150元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color w:val="000000"/>
          <w:sz w:val="28"/>
        </w:rPr>
        <w:t>8、燕赵镇生态护林员补贴绩效目标表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13063425P004C4910320F</w:t>
            </w:r>
          </w:p>
        </w:tc>
        <w:tc>
          <w:tcPr>
            <w:tcW w:w="2835" w:type="dxa"/>
            <w:vAlign w:val="center"/>
          </w:tcPr>
          <w:p>
            <w:pPr>
              <w:pStyle w:val="10"/>
            </w:pPr>
            <w:r>
              <w:t>项目名称</w:t>
            </w:r>
          </w:p>
        </w:tc>
        <w:tc>
          <w:tcPr>
            <w:tcW w:w="6095" w:type="dxa"/>
            <w:gridSpan w:val="3"/>
            <w:vAlign w:val="center"/>
          </w:tcPr>
          <w:p>
            <w:pPr>
              <w:pStyle w:val="12"/>
            </w:pPr>
            <w:r>
              <w:t>燕赵镇生态护林员补贴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11.88</w:t>
            </w:r>
          </w:p>
        </w:tc>
        <w:tc>
          <w:tcPr>
            <w:tcW w:w="2835" w:type="dxa"/>
            <w:vAlign w:val="center"/>
          </w:tcPr>
          <w:p>
            <w:pPr>
              <w:pStyle w:val="10"/>
            </w:pPr>
            <w:r>
              <w:t>其中：财政    资金</w:t>
            </w:r>
          </w:p>
        </w:tc>
        <w:tc>
          <w:tcPr>
            <w:tcW w:w="2551" w:type="dxa"/>
            <w:vAlign w:val="center"/>
          </w:tcPr>
          <w:p>
            <w:pPr>
              <w:pStyle w:val="12"/>
            </w:pPr>
            <w:r>
              <w:t>11.88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lang w:eastAsia="zh-CN"/>
              </w:rPr>
            </w:pPr>
            <w:r>
              <w:t>预算安排11.88万元，其中县级财政资金11.88万元，主要用于发放生态护林员补贴。按月拨付资金。</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2.97</w:t>
            </w:r>
          </w:p>
        </w:tc>
        <w:tc>
          <w:tcPr>
            <w:tcW w:w="2835" w:type="dxa"/>
            <w:vAlign w:val="center"/>
          </w:tcPr>
          <w:p>
            <w:pPr>
              <w:pStyle w:val="13"/>
            </w:pPr>
            <w:r>
              <w:t>5.94</w:t>
            </w:r>
          </w:p>
        </w:tc>
        <w:tc>
          <w:tcPr>
            <w:tcW w:w="2551" w:type="dxa"/>
            <w:vAlign w:val="center"/>
          </w:tcPr>
          <w:p>
            <w:pPr>
              <w:pStyle w:val="13"/>
            </w:pPr>
            <w:r>
              <w:t>8.91</w:t>
            </w:r>
          </w:p>
        </w:tc>
        <w:tc>
          <w:tcPr>
            <w:tcW w:w="3544" w:type="dxa"/>
            <w:gridSpan w:val="2"/>
            <w:vAlign w:val="center"/>
          </w:tcPr>
          <w:p>
            <w:pPr>
              <w:pStyle w:val="13"/>
            </w:pPr>
            <w:r>
              <w:t>11.88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≥40次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管护区内林业资源保护提升情况</w:t>
            </w:r>
          </w:p>
        </w:tc>
        <w:tc>
          <w:tcPr>
            <w:tcW w:w="5386" w:type="dxa"/>
            <w:vAlign w:val="center"/>
          </w:tcPr>
          <w:p>
            <w:pPr>
              <w:pStyle w:val="12"/>
            </w:pPr>
            <w:r>
              <w:t>管护区内林业资源保护提升情况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9、燕赵镇网格员生活补贴绩效目标表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13063425P004C49103213</w:t>
            </w:r>
          </w:p>
        </w:tc>
        <w:tc>
          <w:tcPr>
            <w:tcW w:w="2835" w:type="dxa"/>
            <w:vAlign w:val="center"/>
          </w:tcPr>
          <w:p>
            <w:pPr>
              <w:pStyle w:val="10"/>
            </w:pPr>
            <w:r>
              <w:t>项目名称</w:t>
            </w:r>
          </w:p>
        </w:tc>
        <w:tc>
          <w:tcPr>
            <w:tcW w:w="6095" w:type="dxa"/>
            <w:gridSpan w:val="3"/>
            <w:vAlign w:val="center"/>
          </w:tcPr>
          <w:p>
            <w:pPr>
              <w:pStyle w:val="12"/>
            </w:pPr>
            <w:r>
              <w:t>燕赵镇网格员生活补贴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预算安排21.6万元，其中县级财政资金21.6万元，主要用于发放网格员生活补贴。按月拨付资金。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5.40</w:t>
            </w:r>
          </w:p>
        </w:tc>
        <w:tc>
          <w:tcPr>
            <w:tcW w:w="2835" w:type="dxa"/>
            <w:vAlign w:val="center"/>
          </w:tcPr>
          <w:p>
            <w:pPr>
              <w:pStyle w:val="13"/>
            </w:pPr>
            <w:r>
              <w:t>10.80</w:t>
            </w:r>
          </w:p>
        </w:tc>
        <w:tc>
          <w:tcPr>
            <w:tcW w:w="2551" w:type="dxa"/>
            <w:vAlign w:val="center"/>
          </w:tcPr>
          <w:p>
            <w:pPr>
              <w:pStyle w:val="13"/>
            </w:pPr>
            <w:r>
              <w:t>16.20</w:t>
            </w:r>
          </w:p>
        </w:tc>
        <w:tc>
          <w:tcPr>
            <w:tcW w:w="3544" w:type="dxa"/>
            <w:gridSpan w:val="2"/>
            <w:vAlign w:val="center"/>
          </w:tcPr>
          <w:p>
            <w:pPr>
              <w:pStyle w:val="13"/>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color w:val="000000"/>
          <w:sz w:val="28"/>
        </w:rPr>
        <w:t>10、燕赵镇下沉干部工作经费绩效目标表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13063425P00439810036X</w:t>
            </w:r>
          </w:p>
        </w:tc>
        <w:tc>
          <w:tcPr>
            <w:tcW w:w="2835" w:type="dxa"/>
            <w:vAlign w:val="center"/>
          </w:tcPr>
          <w:p>
            <w:pPr>
              <w:pStyle w:val="10"/>
            </w:pPr>
            <w:r>
              <w:t>项目名称</w:t>
            </w:r>
          </w:p>
        </w:tc>
        <w:tc>
          <w:tcPr>
            <w:tcW w:w="6095" w:type="dxa"/>
            <w:gridSpan w:val="3"/>
            <w:vAlign w:val="center"/>
          </w:tcPr>
          <w:p>
            <w:pPr>
              <w:pStyle w:val="12"/>
            </w:pPr>
            <w:r>
              <w:t>燕赵镇下沉干部工作经费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预算数为8万元，其中县级财政资金为8万元，主要用于下沉工作队开展工作支出，按工作开展情况拨付资金。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1.通过下沉工作队帮扶指导有效增强基层村级党组织力量，提高党组织建设标准化、规范化水平。</w:t>
            </w:r>
            <w:r>
              <w:tab/>
            </w:r>
            <w:r>
              <w:tab/>
            </w:r>
            <w:r>
              <w:tab/>
            </w:r>
            <w:r>
              <w:tab/>
            </w:r>
            <w:r>
              <w:tab/>
            </w:r>
            <w:r>
              <w:tab/>
            </w:r>
          </w:p>
          <w:p>
            <w:pPr>
              <w:pStyle w:val="12"/>
              <w:rPr>
                <w:lang w:eastAsia="zh-CN"/>
              </w:rPr>
            </w:pPr>
            <w:r>
              <w:t>2.通过下沉工作队帮扶指导推进农村经济发展，维护社会稳定，联系服务群众，帮助群众解决急难险盼的问题。</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11、燕赵镇征兵工作经费绩效目标表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13063425P00427310098R</w:t>
            </w:r>
          </w:p>
        </w:tc>
        <w:tc>
          <w:tcPr>
            <w:tcW w:w="2835" w:type="dxa"/>
            <w:vAlign w:val="center"/>
          </w:tcPr>
          <w:p>
            <w:pPr>
              <w:pStyle w:val="10"/>
            </w:pPr>
            <w:r>
              <w:t>项目名称</w:t>
            </w:r>
          </w:p>
        </w:tc>
        <w:tc>
          <w:tcPr>
            <w:tcW w:w="6095" w:type="dxa"/>
            <w:gridSpan w:val="3"/>
            <w:vAlign w:val="center"/>
          </w:tcPr>
          <w:p>
            <w:pPr>
              <w:pStyle w:val="12"/>
            </w:pPr>
            <w:r>
              <w:t>燕赵镇征兵工作经费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lang w:eastAsia="zh-CN"/>
              </w:rPr>
            </w:pPr>
            <w:r>
              <w:t>预算资金</w:t>
            </w:r>
            <w:r>
              <w:rPr>
                <w:rFonts w:hint="eastAsia"/>
                <w:lang w:eastAsia="zh-CN"/>
              </w:rPr>
              <w:t>2万</w:t>
            </w:r>
            <w:r>
              <w:t>元，其中县级资金</w:t>
            </w:r>
            <w:r>
              <w:rPr>
                <w:rFonts w:hint="eastAsia"/>
                <w:lang w:eastAsia="zh-CN"/>
              </w:rPr>
              <w:t>2万</w:t>
            </w:r>
            <w:r>
              <w:t>元，主要用于全年两次征兵工作，按工作进度拨付资金。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12、燕赵镇正常离任村干部生活补贴绩效目标表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13063425P00GFMB10295P</w:t>
            </w:r>
          </w:p>
        </w:tc>
        <w:tc>
          <w:tcPr>
            <w:tcW w:w="2835" w:type="dxa"/>
            <w:vAlign w:val="center"/>
          </w:tcPr>
          <w:p>
            <w:pPr>
              <w:pStyle w:val="10"/>
            </w:pPr>
            <w:r>
              <w:t>项目名称</w:t>
            </w:r>
          </w:p>
        </w:tc>
        <w:tc>
          <w:tcPr>
            <w:tcW w:w="6095" w:type="dxa"/>
            <w:gridSpan w:val="3"/>
            <w:vAlign w:val="center"/>
          </w:tcPr>
          <w:p>
            <w:pPr>
              <w:pStyle w:val="12"/>
            </w:pPr>
            <w:r>
              <w:t>燕赵镇正常离任村干部生活补贴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预算数15万元，其中县级财政资金15万元。主要用于发放正常离任村干部生活补贴，年底一次性拨付资金。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lang w:eastAsia="zh-CN"/>
              </w:rPr>
            </w:pPr>
            <w:r>
              <w:t>1.通过发放正常离任村干部生活补贴，确保离任村干部生活得到基本保障。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13、燕赵镇综合管理专项经费绩效目标表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13063425P00427310099D</w:t>
            </w:r>
          </w:p>
        </w:tc>
        <w:tc>
          <w:tcPr>
            <w:tcW w:w="2835" w:type="dxa"/>
            <w:vAlign w:val="center"/>
          </w:tcPr>
          <w:p>
            <w:pPr>
              <w:pStyle w:val="10"/>
            </w:pPr>
            <w:r>
              <w:t>项目名称</w:t>
            </w:r>
          </w:p>
        </w:tc>
        <w:tc>
          <w:tcPr>
            <w:tcW w:w="6095" w:type="dxa"/>
            <w:gridSpan w:val="3"/>
            <w:vAlign w:val="center"/>
          </w:tcPr>
          <w:p>
            <w:pPr>
              <w:pStyle w:val="12"/>
            </w:pPr>
            <w:r>
              <w:t>燕赵镇综合管理专项经费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w:t>
            </w:r>
            <w:r>
              <w:rPr>
                <w:rFonts w:hint="eastAsia"/>
                <w:lang w:eastAsia="zh-CN"/>
              </w:rPr>
              <w:t>10.5万</w:t>
            </w:r>
            <w:r>
              <w:t>元，其中县级资金</w:t>
            </w:r>
            <w:r>
              <w:rPr>
                <w:rFonts w:hint="eastAsia"/>
                <w:lang w:eastAsia="zh-CN"/>
              </w:rPr>
              <w:t>10.5万</w:t>
            </w:r>
            <w:r>
              <w:t>元，主要用于我乡开展党建，应急，信访，环保等各项工作费用支出。按工作开展情况拨付资金。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公共服务水平提升情况</w:t>
            </w:r>
          </w:p>
        </w:tc>
        <w:tc>
          <w:tcPr>
            <w:tcW w:w="5386" w:type="dxa"/>
            <w:vAlign w:val="center"/>
          </w:tcPr>
          <w:p>
            <w:pPr>
              <w:pStyle w:val="12"/>
            </w:pPr>
            <w:r>
              <w:t>公共服务水平较上年提升情况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986曲阳县燕赵镇人民政府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11.60</w:t>
            </w:r>
          </w:p>
        </w:tc>
        <w:tc>
          <w:tcPr>
            <w:tcW w:w="964" w:type="dxa"/>
            <w:vAlign w:val="center"/>
          </w:tcPr>
          <w:p>
            <w:pPr>
              <w:pStyle w:val="15"/>
            </w:pPr>
            <w:r>
              <w:t>11.60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曲阳县燕赵镇人民政府本级小计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11.60</w:t>
            </w:r>
          </w:p>
        </w:tc>
        <w:tc>
          <w:tcPr>
            <w:tcW w:w="964" w:type="dxa"/>
            <w:vAlign w:val="center"/>
          </w:tcPr>
          <w:p>
            <w:pPr>
              <w:pStyle w:val="15"/>
            </w:pPr>
            <w:r>
              <w:t>11.60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26.74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35</w:t>
            </w:r>
          </w:p>
        </w:tc>
        <w:tc>
          <w:tcPr>
            <w:tcW w:w="850" w:type="dxa"/>
            <w:vAlign w:val="center"/>
          </w:tcPr>
          <w:p>
            <w:pPr>
              <w:pStyle w:val="11"/>
            </w:pPr>
            <w:r>
              <w:t>0.16</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燕赵镇村级组织运转经费</w:t>
            </w:r>
          </w:p>
        </w:tc>
        <w:tc>
          <w:tcPr>
            <w:tcW w:w="964" w:type="dxa"/>
            <w:vAlign w:val="center"/>
          </w:tcPr>
          <w:p>
            <w:pPr>
              <w:pStyle w:val="11"/>
            </w:pPr>
            <w:r>
              <w:t>264.00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曲阳县燕赵镇人民政府（含所属单位）上年末固定资产金额为105.34万元（详见下表）。本年度拟购置固定资产总额为0.00万元，已按要求列入政府采购预算，详见政府采购预算表。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986曲阳县燕赵镇人民政府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650</w:t>
            </w:r>
          </w:p>
        </w:tc>
        <w:tc>
          <w:tcPr>
            <w:tcW w:w="2835"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450</w:t>
            </w:r>
          </w:p>
        </w:tc>
        <w:tc>
          <w:tcPr>
            <w:tcW w:w="2835" w:type="dxa"/>
            <w:vAlign w:val="center"/>
          </w:tcPr>
          <w:p>
            <w:pPr>
              <w:pStyle w:val="11"/>
            </w:pPr>
            <w:r>
              <w:t>29.77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246</w:t>
            </w:r>
          </w:p>
        </w:tc>
        <w:tc>
          <w:tcPr>
            <w:tcW w:w="2835" w:type="dxa"/>
            <w:vAlign w:val="center"/>
          </w:tcPr>
          <w:p>
            <w:pPr>
              <w:pStyle w:val="11"/>
            </w:pPr>
            <w:r>
              <w:t>58.84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87208"/>
    <w:rsid w:val="000B5206"/>
    <w:rsid w:val="002B0680"/>
    <w:rsid w:val="00550F56"/>
    <w:rsid w:val="007466C0"/>
    <w:rsid w:val="00987208"/>
    <w:rsid w:val="00C47464"/>
    <w:rsid w:val="00CF5A91"/>
    <w:rsid w:val="20D708D9"/>
    <w:rsid w:val="44D76D18"/>
    <w:rsid w:val="587E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3580</Words>
  <Characters>20409</Characters>
  <Lines>170</Lines>
  <Paragraphs>47</Paragraphs>
  <TotalTime>9</TotalTime>
  <ScaleCrop>false</ScaleCrop>
  <LinksUpToDate>false</LinksUpToDate>
  <CharactersWithSpaces>23942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2025-02-05T07:01:00Z</dcterms:created>
  <dc:creator>Administrator</dc:creator>
  <cp:lastModifiedBy>6665</cp:lastModifiedBy>
  <dcterms:modified xsi:type="dcterms:W3CDTF">2025-02-19T00:57:43Z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