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3" w:name="_GoBack"/>
      <w:bookmarkEnd w:id="3"/>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一、曲阳县医疗保障局收支预算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二、曲阳县医疗保险所收支预算</w:t>
      </w:r>
      <w:r>
        <w:tab/>
      </w:r>
      <w:r>
        <w:fldChar w:fldCharType="begin"/>
      </w:r>
      <w:r>
        <w:instrText xml:space="preserve">PAGEREF _Toc_4_4_0000000002 \h</w:instrText>
      </w:r>
      <w:r>
        <w:fldChar w:fldCharType="separate"/>
      </w:r>
      <w:r>
        <w:t>2</w:t>
      </w:r>
      <w:r>
        <w:rPr>
          <w:rFonts w:hint="eastAsia"/>
          <w:lang w:val="en-US" w:eastAsia="zh-CN"/>
        </w:rPr>
        <w:t>7</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三、曲阳县城乡居民基本医疗保险服务中心收支预算</w:t>
      </w:r>
      <w:r>
        <w:tab/>
      </w:r>
      <w:r>
        <w:rPr>
          <w:rFonts w:hint="eastAsia"/>
          <w:lang w:val="en-US" w:eastAsia="zh-CN"/>
        </w:rPr>
        <w:t>5</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一、曲阳县医疗保障局收支预算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473001曲阳县医疗保障局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176.51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158.61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176.51</w:t>
            </w:r>
          </w:p>
        </w:tc>
        <w:tc>
          <w:tcPr>
            <w:tcW w:w="4535" w:type="dxa"/>
            <w:vAlign w:val="center"/>
          </w:tcPr>
          <w:p>
            <w:pPr>
              <w:pStyle w:val="14"/>
            </w:pPr>
            <w:r>
              <w:t>本年支出合计</w:t>
            </w:r>
          </w:p>
        </w:tc>
        <w:tc>
          <w:tcPr>
            <w:tcW w:w="2126" w:type="dxa"/>
            <w:vAlign w:val="center"/>
          </w:tcPr>
          <w:p>
            <w:pPr>
              <w:pStyle w:val="15"/>
            </w:pPr>
            <w:r>
              <w:t>176.51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176.51</w:t>
            </w:r>
          </w:p>
        </w:tc>
        <w:tc>
          <w:tcPr>
            <w:tcW w:w="4535" w:type="dxa"/>
            <w:vAlign w:val="center"/>
          </w:tcPr>
          <w:p>
            <w:pPr>
              <w:pStyle w:val="14"/>
            </w:pPr>
            <w:r>
              <w:t>支出总计</w:t>
            </w:r>
          </w:p>
        </w:tc>
        <w:tc>
          <w:tcPr>
            <w:tcW w:w="2126" w:type="dxa"/>
            <w:vAlign w:val="center"/>
          </w:tcPr>
          <w:p>
            <w:pPr>
              <w:pStyle w:val="15"/>
            </w:pPr>
            <w:r>
              <w:t>176.51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473001曲阳县医疗保障局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176.51</w:t>
            </w:r>
          </w:p>
        </w:tc>
        <w:tc>
          <w:tcPr>
            <w:tcW w:w="1134" w:type="dxa"/>
            <w:vAlign w:val="center"/>
          </w:tcPr>
          <w:p>
            <w:pPr>
              <w:pStyle w:val="15"/>
            </w:pPr>
            <w:r>
              <w:t>176.51</w:t>
            </w:r>
          </w:p>
        </w:tc>
        <w:tc>
          <w:tcPr>
            <w:tcW w:w="1134" w:type="dxa"/>
            <w:vAlign w:val="center"/>
          </w:tcPr>
          <w:p>
            <w:pPr>
              <w:pStyle w:val="15"/>
            </w:pPr>
            <w:r>
              <w:t>176.51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158.61</w:t>
            </w:r>
          </w:p>
        </w:tc>
        <w:tc>
          <w:tcPr>
            <w:tcW w:w="1134" w:type="dxa"/>
            <w:vAlign w:val="center"/>
          </w:tcPr>
          <w:p>
            <w:pPr>
              <w:pStyle w:val="11"/>
            </w:pPr>
            <w:r>
              <w:t>158.61</w:t>
            </w:r>
          </w:p>
        </w:tc>
        <w:tc>
          <w:tcPr>
            <w:tcW w:w="1134" w:type="dxa"/>
            <w:vAlign w:val="center"/>
          </w:tcPr>
          <w:p>
            <w:pPr>
              <w:pStyle w:val="11"/>
            </w:pPr>
            <w:r>
              <w:t>158.61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1.32</w:t>
            </w:r>
          </w:p>
        </w:tc>
        <w:tc>
          <w:tcPr>
            <w:tcW w:w="1134" w:type="dxa"/>
            <w:vAlign w:val="center"/>
          </w:tcPr>
          <w:p>
            <w:pPr>
              <w:pStyle w:val="11"/>
            </w:pPr>
            <w:r>
              <w:t>1.32</w:t>
            </w:r>
          </w:p>
        </w:tc>
        <w:tc>
          <w:tcPr>
            <w:tcW w:w="1134" w:type="dxa"/>
            <w:vAlign w:val="center"/>
          </w:tcPr>
          <w:p>
            <w:pPr>
              <w:pStyle w:val="11"/>
            </w:pPr>
            <w:r>
              <w:t>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153.09</w:t>
            </w:r>
          </w:p>
        </w:tc>
        <w:tc>
          <w:tcPr>
            <w:tcW w:w="1134" w:type="dxa"/>
            <w:vAlign w:val="center"/>
          </w:tcPr>
          <w:p>
            <w:pPr>
              <w:pStyle w:val="11"/>
            </w:pPr>
            <w:r>
              <w:t>153.09</w:t>
            </w:r>
          </w:p>
        </w:tc>
        <w:tc>
          <w:tcPr>
            <w:tcW w:w="1134" w:type="dxa"/>
            <w:vAlign w:val="center"/>
          </w:tcPr>
          <w:p>
            <w:pPr>
              <w:pStyle w:val="11"/>
            </w:pPr>
            <w:r>
              <w:t>153.09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73.95</w:t>
            </w:r>
          </w:p>
        </w:tc>
        <w:tc>
          <w:tcPr>
            <w:tcW w:w="1134" w:type="dxa"/>
            <w:vAlign w:val="center"/>
          </w:tcPr>
          <w:p>
            <w:pPr>
              <w:pStyle w:val="11"/>
            </w:pPr>
            <w:r>
              <w:t>73.95</w:t>
            </w:r>
          </w:p>
        </w:tc>
        <w:tc>
          <w:tcPr>
            <w:tcW w:w="1134" w:type="dxa"/>
            <w:vAlign w:val="center"/>
          </w:tcPr>
          <w:p>
            <w:pPr>
              <w:pStyle w:val="11"/>
            </w:pPr>
            <w:r>
              <w:t>73.95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79.14</w:t>
            </w:r>
          </w:p>
        </w:tc>
        <w:tc>
          <w:tcPr>
            <w:tcW w:w="1134" w:type="dxa"/>
            <w:vAlign w:val="center"/>
          </w:tcPr>
          <w:p>
            <w:pPr>
              <w:pStyle w:val="11"/>
            </w:pPr>
            <w:r>
              <w:t>79.14</w:t>
            </w:r>
          </w:p>
        </w:tc>
        <w:tc>
          <w:tcPr>
            <w:tcW w:w="1134" w:type="dxa"/>
            <w:vAlign w:val="center"/>
          </w:tcPr>
          <w:p>
            <w:pPr>
              <w:pStyle w:val="11"/>
            </w:pPr>
            <w:r>
              <w:t>79.14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176.51</w:t>
            </w:r>
          </w:p>
        </w:tc>
        <w:tc>
          <w:tcPr>
            <w:tcW w:w="1361" w:type="dxa"/>
            <w:vAlign w:val="center"/>
          </w:tcPr>
          <w:p>
            <w:pPr>
              <w:pStyle w:val="15"/>
            </w:pPr>
            <w:r>
              <w:t>94.81</w:t>
            </w:r>
          </w:p>
        </w:tc>
        <w:tc>
          <w:tcPr>
            <w:tcW w:w="1361" w:type="dxa"/>
            <w:vAlign w:val="center"/>
          </w:tcPr>
          <w:p>
            <w:pPr>
              <w:pStyle w:val="15"/>
            </w:pPr>
            <w:r>
              <w:t>81.70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8.78</w:t>
            </w:r>
          </w:p>
        </w:tc>
        <w:tc>
          <w:tcPr>
            <w:tcW w:w="1361" w:type="dxa"/>
            <w:vAlign w:val="center"/>
          </w:tcPr>
          <w:p>
            <w:pPr>
              <w:pStyle w:val="11"/>
            </w:pPr>
            <w:r>
              <w:t>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8.78</w:t>
            </w:r>
          </w:p>
        </w:tc>
        <w:tc>
          <w:tcPr>
            <w:tcW w:w="1361" w:type="dxa"/>
            <w:vAlign w:val="center"/>
          </w:tcPr>
          <w:p>
            <w:pPr>
              <w:pStyle w:val="11"/>
            </w:pPr>
            <w:r>
              <w:t>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8.78</w:t>
            </w:r>
          </w:p>
        </w:tc>
        <w:tc>
          <w:tcPr>
            <w:tcW w:w="1361" w:type="dxa"/>
            <w:vAlign w:val="center"/>
          </w:tcPr>
          <w:p>
            <w:pPr>
              <w:pStyle w:val="11"/>
            </w:pPr>
            <w:r>
              <w:t>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158.61</w:t>
            </w:r>
          </w:p>
        </w:tc>
        <w:tc>
          <w:tcPr>
            <w:tcW w:w="1361" w:type="dxa"/>
            <w:vAlign w:val="center"/>
          </w:tcPr>
          <w:p>
            <w:pPr>
              <w:pStyle w:val="11"/>
            </w:pPr>
            <w:r>
              <w:t>79.47</w:t>
            </w:r>
          </w:p>
        </w:tc>
        <w:tc>
          <w:tcPr>
            <w:tcW w:w="1361" w:type="dxa"/>
            <w:vAlign w:val="center"/>
          </w:tcPr>
          <w:p>
            <w:pPr>
              <w:pStyle w:val="11"/>
            </w:pPr>
            <w:r>
              <w:t>79.14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5.52</w:t>
            </w:r>
          </w:p>
        </w:tc>
        <w:tc>
          <w:tcPr>
            <w:tcW w:w="1361" w:type="dxa"/>
            <w:vAlign w:val="center"/>
          </w:tcPr>
          <w:p>
            <w:pPr>
              <w:pStyle w:val="11"/>
            </w:pPr>
            <w:r>
              <w:t>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4.20</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1.32</w:t>
            </w:r>
          </w:p>
        </w:tc>
        <w:tc>
          <w:tcPr>
            <w:tcW w:w="1361" w:type="dxa"/>
            <w:vAlign w:val="center"/>
          </w:tcPr>
          <w:p>
            <w:pPr>
              <w:pStyle w:val="11"/>
            </w:pPr>
            <w:r>
              <w:t>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153.09</w:t>
            </w:r>
          </w:p>
        </w:tc>
        <w:tc>
          <w:tcPr>
            <w:tcW w:w="1361" w:type="dxa"/>
            <w:vAlign w:val="center"/>
          </w:tcPr>
          <w:p>
            <w:pPr>
              <w:pStyle w:val="11"/>
            </w:pPr>
            <w:r>
              <w:t>73.95</w:t>
            </w:r>
          </w:p>
        </w:tc>
        <w:tc>
          <w:tcPr>
            <w:tcW w:w="1361" w:type="dxa"/>
            <w:vAlign w:val="center"/>
          </w:tcPr>
          <w:p>
            <w:pPr>
              <w:pStyle w:val="11"/>
            </w:pPr>
            <w:r>
              <w:t>79.14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73.95</w:t>
            </w:r>
          </w:p>
        </w:tc>
        <w:tc>
          <w:tcPr>
            <w:tcW w:w="1361" w:type="dxa"/>
            <w:vAlign w:val="center"/>
          </w:tcPr>
          <w:p>
            <w:pPr>
              <w:pStyle w:val="11"/>
            </w:pPr>
            <w:r>
              <w:t>73.95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79.14</w:t>
            </w:r>
          </w:p>
        </w:tc>
        <w:tc>
          <w:tcPr>
            <w:tcW w:w="1361" w:type="dxa"/>
            <w:vAlign w:val="center"/>
          </w:tcPr>
          <w:p>
            <w:pPr>
              <w:pStyle w:val="11"/>
            </w:pPr>
          </w:p>
        </w:tc>
        <w:tc>
          <w:tcPr>
            <w:tcW w:w="1361" w:type="dxa"/>
            <w:vAlign w:val="center"/>
          </w:tcPr>
          <w:p>
            <w:pPr>
              <w:pStyle w:val="11"/>
            </w:pPr>
            <w:r>
              <w:t>79.14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176.51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2.56</w:t>
            </w:r>
          </w:p>
        </w:tc>
        <w:tc>
          <w:tcPr>
            <w:tcW w:w="1474" w:type="dxa"/>
            <w:vAlign w:val="center"/>
          </w:tcPr>
          <w:p>
            <w:pPr>
              <w:pStyle w:val="11"/>
            </w:pPr>
            <w:r>
              <w:t>2.56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8.78</w:t>
            </w:r>
          </w:p>
        </w:tc>
        <w:tc>
          <w:tcPr>
            <w:tcW w:w="1474" w:type="dxa"/>
            <w:vAlign w:val="center"/>
          </w:tcPr>
          <w:p>
            <w:pPr>
              <w:pStyle w:val="11"/>
            </w:pPr>
            <w:r>
              <w:t>8.78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158.61</w:t>
            </w:r>
          </w:p>
        </w:tc>
        <w:tc>
          <w:tcPr>
            <w:tcW w:w="1474" w:type="dxa"/>
            <w:vAlign w:val="center"/>
          </w:tcPr>
          <w:p>
            <w:pPr>
              <w:pStyle w:val="11"/>
            </w:pPr>
            <w:r>
              <w:t>158.61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6.56</w:t>
            </w:r>
          </w:p>
        </w:tc>
        <w:tc>
          <w:tcPr>
            <w:tcW w:w="1474" w:type="dxa"/>
            <w:vAlign w:val="center"/>
          </w:tcPr>
          <w:p>
            <w:pPr>
              <w:pStyle w:val="11"/>
            </w:pPr>
            <w:r>
              <w:t>6.56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176.51</w:t>
            </w:r>
          </w:p>
        </w:tc>
        <w:tc>
          <w:tcPr>
            <w:tcW w:w="3402" w:type="dxa"/>
            <w:vAlign w:val="center"/>
          </w:tcPr>
          <w:p>
            <w:pPr>
              <w:pStyle w:val="14"/>
            </w:pPr>
            <w:r>
              <w:t>本年支出合计</w:t>
            </w:r>
          </w:p>
        </w:tc>
        <w:tc>
          <w:tcPr>
            <w:tcW w:w="1474" w:type="dxa"/>
            <w:vAlign w:val="center"/>
          </w:tcPr>
          <w:p>
            <w:pPr>
              <w:pStyle w:val="15"/>
            </w:pPr>
            <w:r>
              <w:t>176.51</w:t>
            </w:r>
          </w:p>
        </w:tc>
        <w:tc>
          <w:tcPr>
            <w:tcW w:w="1474" w:type="dxa"/>
            <w:vAlign w:val="center"/>
          </w:tcPr>
          <w:p>
            <w:pPr>
              <w:pStyle w:val="15"/>
            </w:pPr>
            <w:r>
              <w:t>176.51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176.51</w:t>
            </w:r>
          </w:p>
        </w:tc>
        <w:tc>
          <w:tcPr>
            <w:tcW w:w="3402" w:type="dxa"/>
            <w:vAlign w:val="center"/>
          </w:tcPr>
          <w:p>
            <w:pPr>
              <w:pStyle w:val="14"/>
            </w:pPr>
            <w:r>
              <w:t>支出总计</w:t>
            </w:r>
          </w:p>
        </w:tc>
        <w:tc>
          <w:tcPr>
            <w:tcW w:w="1474" w:type="dxa"/>
            <w:vAlign w:val="center"/>
          </w:tcPr>
          <w:p>
            <w:pPr>
              <w:pStyle w:val="15"/>
            </w:pPr>
            <w:r>
              <w:t>176.51</w:t>
            </w:r>
          </w:p>
        </w:tc>
        <w:tc>
          <w:tcPr>
            <w:tcW w:w="1474" w:type="dxa"/>
            <w:vAlign w:val="center"/>
          </w:tcPr>
          <w:p>
            <w:pPr>
              <w:pStyle w:val="15"/>
            </w:pPr>
            <w:r>
              <w:t>176.51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176.51</w:t>
            </w:r>
          </w:p>
        </w:tc>
        <w:tc>
          <w:tcPr>
            <w:tcW w:w="2551" w:type="dxa"/>
            <w:vAlign w:val="center"/>
          </w:tcPr>
          <w:p>
            <w:pPr>
              <w:pStyle w:val="15"/>
            </w:pPr>
            <w:r>
              <w:t>94.81</w:t>
            </w:r>
          </w:p>
        </w:tc>
        <w:tc>
          <w:tcPr>
            <w:tcW w:w="2551" w:type="dxa"/>
            <w:vAlign w:val="center"/>
          </w:tcPr>
          <w:p>
            <w:pPr>
              <w:pStyle w:val="15"/>
            </w:pPr>
            <w:r>
              <w:t>81.70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158.61</w:t>
            </w:r>
          </w:p>
        </w:tc>
        <w:tc>
          <w:tcPr>
            <w:tcW w:w="2551" w:type="dxa"/>
            <w:vAlign w:val="center"/>
          </w:tcPr>
          <w:p>
            <w:pPr>
              <w:pStyle w:val="11"/>
            </w:pPr>
            <w:r>
              <w:t>79.47</w:t>
            </w:r>
          </w:p>
        </w:tc>
        <w:tc>
          <w:tcPr>
            <w:tcW w:w="2551" w:type="dxa"/>
            <w:vAlign w:val="center"/>
          </w:tcPr>
          <w:p>
            <w:pPr>
              <w:pStyle w:val="11"/>
            </w:pPr>
            <w:r>
              <w:t>79.14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1.32</w:t>
            </w:r>
          </w:p>
        </w:tc>
        <w:tc>
          <w:tcPr>
            <w:tcW w:w="2551" w:type="dxa"/>
            <w:vAlign w:val="center"/>
          </w:tcPr>
          <w:p>
            <w:pPr>
              <w:pStyle w:val="11"/>
            </w:pPr>
            <w:r>
              <w:t>1.32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153.09</w:t>
            </w:r>
          </w:p>
        </w:tc>
        <w:tc>
          <w:tcPr>
            <w:tcW w:w="2551" w:type="dxa"/>
            <w:vAlign w:val="center"/>
          </w:tcPr>
          <w:p>
            <w:pPr>
              <w:pStyle w:val="11"/>
            </w:pPr>
            <w:r>
              <w:t>73.95</w:t>
            </w:r>
          </w:p>
        </w:tc>
        <w:tc>
          <w:tcPr>
            <w:tcW w:w="2551" w:type="dxa"/>
            <w:vAlign w:val="center"/>
          </w:tcPr>
          <w:p>
            <w:pPr>
              <w:pStyle w:val="11"/>
            </w:pPr>
            <w:r>
              <w:t>79.14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73.95</w:t>
            </w:r>
          </w:p>
        </w:tc>
        <w:tc>
          <w:tcPr>
            <w:tcW w:w="2551" w:type="dxa"/>
            <w:vAlign w:val="center"/>
          </w:tcPr>
          <w:p>
            <w:pPr>
              <w:pStyle w:val="11"/>
            </w:pPr>
            <w:r>
              <w:t>73.95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79.14</w:t>
            </w:r>
          </w:p>
        </w:tc>
        <w:tc>
          <w:tcPr>
            <w:tcW w:w="2551" w:type="dxa"/>
            <w:vAlign w:val="center"/>
          </w:tcPr>
          <w:p>
            <w:pPr>
              <w:pStyle w:val="11"/>
            </w:pPr>
          </w:p>
        </w:tc>
        <w:tc>
          <w:tcPr>
            <w:tcW w:w="2551" w:type="dxa"/>
            <w:vAlign w:val="center"/>
          </w:tcPr>
          <w:p>
            <w:pPr>
              <w:pStyle w:val="11"/>
            </w:pPr>
            <w:r>
              <w:t>79.14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94.81</w:t>
            </w:r>
          </w:p>
        </w:tc>
        <w:tc>
          <w:tcPr>
            <w:tcW w:w="2551" w:type="dxa"/>
            <w:vAlign w:val="center"/>
          </w:tcPr>
          <w:p>
            <w:pPr>
              <w:pStyle w:val="15"/>
            </w:pPr>
            <w:r>
              <w:t>84.91</w:t>
            </w:r>
          </w:p>
        </w:tc>
        <w:tc>
          <w:tcPr>
            <w:tcW w:w="2551" w:type="dxa"/>
            <w:vAlign w:val="center"/>
          </w:tcPr>
          <w:p>
            <w:pPr>
              <w:pStyle w:val="15"/>
            </w:pPr>
            <w:r>
              <w:t>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84.91</w:t>
            </w:r>
          </w:p>
        </w:tc>
        <w:tc>
          <w:tcPr>
            <w:tcW w:w="2551" w:type="dxa"/>
            <w:vAlign w:val="center"/>
          </w:tcPr>
          <w:p>
            <w:pPr>
              <w:pStyle w:val="11"/>
            </w:pPr>
            <w:r>
              <w:t>84.91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35.11</w:t>
            </w:r>
          </w:p>
        </w:tc>
        <w:tc>
          <w:tcPr>
            <w:tcW w:w="2551" w:type="dxa"/>
            <w:vAlign w:val="center"/>
          </w:tcPr>
          <w:p>
            <w:pPr>
              <w:pStyle w:val="11"/>
            </w:pPr>
            <w:r>
              <w:t>35.11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17.03</w:t>
            </w:r>
          </w:p>
        </w:tc>
        <w:tc>
          <w:tcPr>
            <w:tcW w:w="2551" w:type="dxa"/>
            <w:vAlign w:val="center"/>
          </w:tcPr>
          <w:p>
            <w:pPr>
              <w:pStyle w:val="11"/>
            </w:pPr>
            <w:r>
              <w:t>17.03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11.56</w:t>
            </w:r>
          </w:p>
        </w:tc>
        <w:tc>
          <w:tcPr>
            <w:tcW w:w="2551" w:type="dxa"/>
            <w:vAlign w:val="center"/>
          </w:tcPr>
          <w:p>
            <w:pPr>
              <w:pStyle w:val="11"/>
            </w:pPr>
            <w:r>
              <w:t>11.56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1.32</w:t>
            </w:r>
          </w:p>
        </w:tc>
        <w:tc>
          <w:tcPr>
            <w:tcW w:w="2551" w:type="dxa"/>
            <w:vAlign w:val="center"/>
          </w:tcPr>
          <w:p>
            <w:pPr>
              <w:pStyle w:val="11"/>
            </w:pPr>
            <w:r>
              <w:t>1.32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9.90</w:t>
            </w:r>
          </w:p>
        </w:tc>
        <w:tc>
          <w:tcPr>
            <w:tcW w:w="2551" w:type="dxa"/>
            <w:vAlign w:val="center"/>
          </w:tcPr>
          <w:p>
            <w:pPr>
              <w:pStyle w:val="11"/>
            </w:pPr>
          </w:p>
        </w:tc>
        <w:tc>
          <w:tcPr>
            <w:tcW w:w="2551" w:type="dxa"/>
            <w:vAlign w:val="center"/>
          </w:tcPr>
          <w:p>
            <w:pPr>
              <w:pStyle w:val="11"/>
            </w:pPr>
            <w:r>
              <w:t>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0.74</w:t>
            </w:r>
          </w:p>
        </w:tc>
        <w:tc>
          <w:tcPr>
            <w:tcW w:w="2551" w:type="dxa"/>
            <w:vAlign w:val="center"/>
          </w:tcPr>
          <w:p>
            <w:pPr>
              <w:pStyle w:val="11"/>
            </w:pPr>
          </w:p>
        </w:tc>
        <w:tc>
          <w:tcPr>
            <w:tcW w:w="2551" w:type="dxa"/>
            <w:vAlign w:val="center"/>
          </w:tcPr>
          <w:p>
            <w:pPr>
              <w:pStyle w:val="11"/>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曲阳县医疗保障局2025年单位预算信息公开情况说明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按照《中华人民共和国预算法》、《地方预决算公开操作规程》和《关于进一步推进预算公开工作的实施意见》规定，现将曲阳县医疗保障局2025年单位预算公开如下：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7"/>
        <w:rPr>
          <w:rFonts w:ascii="Times New Roman" w:hAnsi="Times New Roman" w:eastAsia="方正仿宋_GBK" w:cs="Times New Roman"/>
          <w:sz w:val="28"/>
        </w:rPr>
      </w:pPr>
      <w:r>
        <w:rPr>
          <w:rFonts w:ascii="Times New Roman" w:hAnsi="Times New Roman" w:eastAsia="方正仿宋_GBK" w:cs="Times New Roman"/>
          <w:sz w:val="28"/>
        </w:rPr>
        <w:t>1.贯彻执行城镇职工和城乡居民医疗保险、生育保险、长期护理保险、医疗救助、补充医疗保险等医疗保障政策法规、政府规章草案，拟定全县相关配套政策、制度、规划和标准。落实离休人员医疗保障政策、国家公务员医疗补助办法。</w:t>
      </w:r>
    </w:p>
    <w:p>
      <w:pPr>
        <w:pStyle w:val="17"/>
        <w:rPr>
          <w:rFonts w:ascii="Times New Roman" w:hAnsi="Times New Roman" w:eastAsia="方正仿宋_GBK" w:cs="Times New Roman"/>
          <w:sz w:val="28"/>
        </w:rPr>
      </w:pPr>
      <w:r>
        <w:rPr>
          <w:rFonts w:ascii="Times New Roman" w:hAnsi="Times New Roman" w:eastAsia="方正仿宋_GBK" w:cs="Times New Roman"/>
          <w:sz w:val="28"/>
        </w:rPr>
        <w:t>2.执行医疗保险基金监督管理政策，完善县医疗保障基金监督管理办法，建立健全全县医疗保障基金安全防控机制，组织建设网络信息和智能监控平台，推进医疗保障基金支付方式改革，并组织实施。</w:t>
      </w:r>
    </w:p>
    <w:p>
      <w:pPr>
        <w:pStyle w:val="17"/>
        <w:rPr>
          <w:rFonts w:ascii="Times New Roman" w:hAnsi="Times New Roman" w:eastAsia="方正仿宋_GBK" w:cs="Times New Roman"/>
          <w:sz w:val="28"/>
        </w:rPr>
      </w:pPr>
      <w:r>
        <w:rPr>
          <w:rFonts w:ascii="Times New Roman" w:hAnsi="Times New Roman" w:eastAsia="方正仿宋_GBK" w:cs="Times New Roman"/>
          <w:sz w:val="28"/>
        </w:rPr>
        <w:t>3.组织制定全县城镇职工、城乡居民参保筹资和保障待遇政策，统筹城乡医疗保障政策标准，建立健全与筹资水平相适应的待遇调整机制。拟定长期护理保险制度方案及政策标准并组织实施。</w:t>
      </w:r>
    </w:p>
    <w:p>
      <w:pPr>
        <w:pStyle w:val="17"/>
        <w:rPr>
          <w:rFonts w:ascii="Times New Roman" w:hAnsi="Times New Roman" w:eastAsia="方正仿宋_GBK" w:cs="Times New Roman"/>
          <w:sz w:val="28"/>
        </w:rPr>
      </w:pPr>
      <w:r>
        <w:rPr>
          <w:rFonts w:ascii="Times New Roman" w:hAnsi="Times New Roman" w:eastAsia="方正仿宋_GBK" w:cs="Times New Roman"/>
          <w:sz w:val="28"/>
        </w:rPr>
        <w:t>4.执行城乡统一的药品、医用耗材、医疗服务项目、医疗服务设施等医保支付标准，建立动态调整机制并组织实施。</w:t>
      </w:r>
    </w:p>
    <w:p>
      <w:pPr>
        <w:pStyle w:val="17"/>
        <w:rPr>
          <w:rFonts w:ascii="Times New Roman" w:hAnsi="Times New Roman" w:eastAsia="方正仿宋_GBK" w:cs="Times New Roman"/>
          <w:sz w:val="28"/>
        </w:rPr>
      </w:pPr>
      <w:r>
        <w:rPr>
          <w:rFonts w:ascii="Times New Roman" w:hAnsi="Times New Roman" w:eastAsia="方正仿宋_GBK" w:cs="Times New Roman"/>
          <w:sz w:val="28"/>
        </w:rPr>
        <w:t>5.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pStyle w:val="17"/>
        <w:rPr>
          <w:rFonts w:ascii="Times New Roman" w:hAnsi="Times New Roman" w:eastAsia="方正仿宋_GBK" w:cs="Times New Roman"/>
          <w:sz w:val="28"/>
        </w:rPr>
      </w:pPr>
      <w:r>
        <w:rPr>
          <w:rFonts w:ascii="Times New Roman" w:hAnsi="Times New Roman" w:eastAsia="方正仿宋_GBK" w:cs="Times New Roman"/>
          <w:sz w:val="28"/>
        </w:rPr>
        <w:t>6.监督实施药品、医用耗材的招标采购政策，指导药品、医用耗材招标采购平台建设。</w:t>
      </w:r>
    </w:p>
    <w:p>
      <w:pPr>
        <w:pStyle w:val="17"/>
        <w:rPr>
          <w:rFonts w:ascii="Times New Roman" w:hAnsi="Times New Roman" w:eastAsia="方正仿宋_GBK" w:cs="Times New Roman"/>
          <w:sz w:val="28"/>
        </w:rPr>
      </w:pPr>
      <w:r>
        <w:rPr>
          <w:rFonts w:ascii="Times New Roman" w:hAnsi="Times New Roman" w:eastAsia="方正仿宋_GBK" w:cs="Times New Roman"/>
          <w:sz w:val="28"/>
        </w:rPr>
        <w:t>7.制定全县定点医药机构协议和支付管理办法并组织实施。建立健全医疗保障信用评价体系和信息披露制度，监督管理定点医药机构的医疗服务行为、医疗费用和医药价格，依法查处医疗保障领域违法违规行为。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rPr>
          <w:rFonts w:ascii="Times New Roman" w:hAnsi="Times New Roman" w:eastAsia="方正仿宋_GBK" w:cs="Times New Roman"/>
          <w:sz w:val="28"/>
        </w:rPr>
      </w:pPr>
      <w:r>
        <w:rPr>
          <w:rFonts w:ascii="Times New Roman" w:hAnsi="Times New Roman" w:eastAsia="方正仿宋_GBK" w:cs="Times New Roman"/>
          <w:sz w:val="28"/>
        </w:rPr>
        <w:t>8.负责医疗保障经办管理、公共服务体系和信息化建设。落实异地就医管理和费用结算政策，建立健全医疗保障关系转移接续制度。</w:t>
      </w:r>
    </w:p>
    <w:p>
      <w:pPr>
        <w:pStyle w:val="17"/>
        <w:rPr>
          <w:rFonts w:ascii="Times New Roman" w:hAnsi="Times New Roman" w:eastAsia="方正仿宋_GBK" w:cs="Times New Roman"/>
          <w:sz w:val="28"/>
        </w:rPr>
      </w:pPr>
      <w:r>
        <w:rPr>
          <w:rFonts w:ascii="Times New Roman" w:hAnsi="Times New Roman" w:eastAsia="方正仿宋_GBK" w:cs="Times New Roman"/>
          <w:sz w:val="28"/>
        </w:rPr>
        <w:t>9.完成县委、县政府交办的其他任务。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曲阳县医疗保障局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176.51万元，其中：一般公共预算收入176.51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医疗保障局年度单位预算中支出预算的总体情况。2025年支出预算176.51万元，其中基本支出94.81万元，包括人员经费84.91万元和日常公用经费9.90万元；项目支出81.70万元，主要为主要为医疗服务与能力提升补助资金32万元、医保局公益岗人员工资22.17万元、医保政策宣传经费4.2万元、医疗保障综合事务经费4.7736万元、医保局网络建设费用2.56万元、医保基金引入第三方经费14万元。</w:t>
      </w:r>
    </w:p>
    <w:p>
      <w:pPr>
        <w:pStyle w:val="18"/>
      </w:pPr>
      <w:r>
        <w:t>3、比上年增减情况</w:t>
      </w:r>
    </w:p>
    <w:p>
      <w:pPr>
        <w:pStyle w:val="18"/>
      </w:pPr>
      <w:r>
        <w:t>2025年预算收支安排176.51万元，较2024年预算减少3.65万元，其中：基本支出减少1.02万元，主要为2024年度含23年取暖费。项目支出减少2.63万元，主要为公益岗人员经费项目减少2.63万元，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年，我单位运行经费共计安排9.9万元，主要用于日常维修、办公用房水电费、办公用房取暖费、办公用房物业管理费等日常运行支出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w:t>
      </w:r>
      <w:r>
        <w:rPr>
          <w:rFonts w:hint="eastAsia"/>
          <w:lang w:eastAsia="zh-CN"/>
        </w:rPr>
        <w:t>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1、医保基金引入第三方监督经费绩效目标表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13063425P001780100032</w:t>
            </w:r>
          </w:p>
        </w:tc>
        <w:tc>
          <w:tcPr>
            <w:tcW w:w="2835" w:type="dxa"/>
            <w:vAlign w:val="center"/>
          </w:tcPr>
          <w:p>
            <w:pPr>
              <w:pStyle w:val="10"/>
            </w:pPr>
            <w:r>
              <w:t>项目名称</w:t>
            </w:r>
          </w:p>
        </w:tc>
        <w:tc>
          <w:tcPr>
            <w:tcW w:w="6095" w:type="dxa"/>
            <w:gridSpan w:val="3"/>
            <w:vAlign w:val="center"/>
          </w:tcPr>
          <w:p>
            <w:pPr>
              <w:pStyle w:val="12"/>
            </w:pPr>
            <w:r>
              <w:t>医保基金引入第三方监督经费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预算数14万元，其中县级资金安排14万元，主要用于引入第三方进行基金监督支出。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1."通过第三方监督，确保医疗基金运行安全，打击欺诈骗保行为。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第三方抽查病例份数</w:t>
            </w:r>
          </w:p>
        </w:tc>
        <w:tc>
          <w:tcPr>
            <w:tcW w:w="5386" w:type="dxa"/>
            <w:vAlign w:val="center"/>
          </w:tcPr>
          <w:p>
            <w:pPr>
              <w:pStyle w:val="12"/>
            </w:pPr>
            <w:r>
              <w:t>第三方抽查病例份数</w:t>
            </w:r>
          </w:p>
        </w:tc>
        <w:tc>
          <w:tcPr>
            <w:tcW w:w="2268" w:type="dxa"/>
            <w:vAlign w:val="center"/>
          </w:tcPr>
          <w:p>
            <w:pPr>
              <w:pStyle w:val="12"/>
            </w:pPr>
            <w:r>
              <w:t>≥1400份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执行医疗保险基金监督管理率</w:t>
            </w:r>
          </w:p>
        </w:tc>
        <w:tc>
          <w:tcPr>
            <w:tcW w:w="5386" w:type="dxa"/>
            <w:vAlign w:val="center"/>
          </w:tcPr>
          <w:p>
            <w:pPr>
              <w:pStyle w:val="12"/>
            </w:pPr>
            <w:r>
              <w:t>执行医疗保险基金监督管理率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委托第三方鉴定及时率</w:t>
            </w:r>
          </w:p>
        </w:tc>
        <w:tc>
          <w:tcPr>
            <w:tcW w:w="5386" w:type="dxa"/>
            <w:vAlign w:val="center"/>
          </w:tcPr>
          <w:p>
            <w:pPr>
              <w:pStyle w:val="12"/>
            </w:pPr>
            <w:r>
              <w:t>委托第三方鉴定及时率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抽查病例单份成本</w:t>
            </w:r>
          </w:p>
        </w:tc>
        <w:tc>
          <w:tcPr>
            <w:tcW w:w="5386" w:type="dxa"/>
            <w:vAlign w:val="center"/>
          </w:tcPr>
          <w:p>
            <w:pPr>
              <w:pStyle w:val="12"/>
            </w:pPr>
            <w:r>
              <w:t>抽查病例单份成本</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欺诈骗保行为减少率</w:t>
            </w:r>
          </w:p>
        </w:tc>
        <w:tc>
          <w:tcPr>
            <w:tcW w:w="5386" w:type="dxa"/>
            <w:vAlign w:val="center"/>
          </w:tcPr>
          <w:p>
            <w:pPr>
              <w:pStyle w:val="12"/>
            </w:pPr>
            <w:r>
              <w:t>欺诈骗保行为减少率</w:t>
            </w:r>
          </w:p>
        </w:tc>
        <w:tc>
          <w:tcPr>
            <w:tcW w:w="2268" w:type="dxa"/>
            <w:vAlign w:val="center"/>
          </w:tcPr>
          <w:p>
            <w:pPr>
              <w:pStyle w:val="12"/>
            </w:pPr>
            <w:r>
              <w:t>明显减少</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2、医保局公益岗人员工资绩效目标表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13063425P00KU8Q100020</w:t>
            </w:r>
          </w:p>
        </w:tc>
        <w:tc>
          <w:tcPr>
            <w:tcW w:w="2835" w:type="dxa"/>
            <w:vAlign w:val="center"/>
          </w:tcPr>
          <w:p>
            <w:pPr>
              <w:pStyle w:val="10"/>
            </w:pPr>
            <w:r>
              <w:t>项目名称</w:t>
            </w:r>
          </w:p>
        </w:tc>
        <w:tc>
          <w:tcPr>
            <w:tcW w:w="6095" w:type="dxa"/>
            <w:gridSpan w:val="3"/>
            <w:vAlign w:val="center"/>
          </w:tcPr>
          <w:p>
            <w:pPr>
              <w:pStyle w:val="12"/>
            </w:pPr>
            <w:r>
              <w:t>医保局公益岗人员工资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22.17</w:t>
            </w:r>
          </w:p>
        </w:tc>
        <w:tc>
          <w:tcPr>
            <w:tcW w:w="2835" w:type="dxa"/>
            <w:vAlign w:val="center"/>
          </w:tcPr>
          <w:p>
            <w:pPr>
              <w:pStyle w:val="10"/>
            </w:pPr>
            <w:r>
              <w:t>其中：财政    资金</w:t>
            </w:r>
          </w:p>
        </w:tc>
        <w:tc>
          <w:tcPr>
            <w:tcW w:w="2551" w:type="dxa"/>
            <w:vAlign w:val="center"/>
          </w:tcPr>
          <w:p>
            <w:pPr>
              <w:pStyle w:val="12"/>
            </w:pPr>
            <w:r>
              <w:t>22.17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预算22.17万元，其中县级资金安排22.17万元，主要用于公益岗人员工资经费支出。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5.54</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22.17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1.及时足额发放6名</w:t>
            </w:r>
            <w:r>
              <w:rPr>
                <w:rFonts w:hint="eastAsia"/>
                <w:lang w:eastAsia="zh-CN"/>
              </w:rPr>
              <w:t>公益性岗位</w:t>
            </w:r>
            <w:r>
              <w:t>工作人员工资，确保</w:t>
            </w:r>
            <w:r>
              <w:rPr>
                <w:rFonts w:hint="eastAsia"/>
                <w:lang w:eastAsia="zh-CN"/>
              </w:rPr>
              <w:t>公益性岗位</w:t>
            </w:r>
            <w:r>
              <w:t>工作人员按时保质保量完成自己的本职工作。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公益岗补助人数</w:t>
            </w:r>
          </w:p>
        </w:tc>
        <w:tc>
          <w:tcPr>
            <w:tcW w:w="5386" w:type="dxa"/>
            <w:vAlign w:val="center"/>
          </w:tcPr>
          <w:p>
            <w:pPr>
              <w:pStyle w:val="12"/>
            </w:pPr>
            <w:r>
              <w:t>公益岗补助人数</w:t>
            </w:r>
          </w:p>
        </w:tc>
        <w:tc>
          <w:tcPr>
            <w:tcW w:w="2268" w:type="dxa"/>
            <w:vAlign w:val="center"/>
          </w:tcPr>
          <w:p>
            <w:pPr>
              <w:pStyle w:val="12"/>
            </w:pPr>
            <w:r>
              <w:t>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公益岗人均月补助标准</w:t>
            </w:r>
          </w:p>
        </w:tc>
        <w:tc>
          <w:tcPr>
            <w:tcW w:w="5386" w:type="dxa"/>
            <w:vAlign w:val="center"/>
          </w:tcPr>
          <w:p>
            <w:pPr>
              <w:pStyle w:val="12"/>
            </w:pPr>
            <w:r>
              <w:t>公益岗人均月补助标准</w:t>
            </w:r>
          </w:p>
        </w:tc>
        <w:tc>
          <w:tcPr>
            <w:tcW w:w="2268" w:type="dxa"/>
            <w:vAlign w:val="center"/>
          </w:tcPr>
          <w:p>
            <w:pPr>
              <w:pStyle w:val="12"/>
            </w:pPr>
            <w:r>
              <w:t>≥3523.61元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3、医保局网络建设经费绩效目标表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13063425P00D36J10015W</w:t>
            </w:r>
          </w:p>
        </w:tc>
        <w:tc>
          <w:tcPr>
            <w:tcW w:w="2835" w:type="dxa"/>
            <w:vAlign w:val="center"/>
          </w:tcPr>
          <w:p>
            <w:pPr>
              <w:pStyle w:val="10"/>
            </w:pPr>
            <w:r>
              <w:t>项目名称</w:t>
            </w:r>
          </w:p>
        </w:tc>
        <w:tc>
          <w:tcPr>
            <w:tcW w:w="6095" w:type="dxa"/>
            <w:gridSpan w:val="3"/>
            <w:vAlign w:val="center"/>
          </w:tcPr>
          <w:p>
            <w:pPr>
              <w:pStyle w:val="12"/>
            </w:pPr>
            <w:r>
              <w:t>医保局网络建设经费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2.56</w:t>
            </w:r>
          </w:p>
        </w:tc>
        <w:tc>
          <w:tcPr>
            <w:tcW w:w="2835" w:type="dxa"/>
            <w:vAlign w:val="center"/>
          </w:tcPr>
          <w:p>
            <w:pPr>
              <w:pStyle w:val="10"/>
            </w:pPr>
            <w:r>
              <w:t>其中：财政    资金</w:t>
            </w:r>
          </w:p>
        </w:tc>
        <w:tc>
          <w:tcPr>
            <w:tcW w:w="2551" w:type="dxa"/>
            <w:vAlign w:val="center"/>
          </w:tcPr>
          <w:p>
            <w:pPr>
              <w:pStyle w:val="12"/>
            </w:pPr>
            <w:r>
              <w:t>2.56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预算数2.56万元，其中县级资金安排2.56万元，主要用于支付网络建设经费。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0.60</w:t>
            </w:r>
          </w:p>
        </w:tc>
        <w:tc>
          <w:tcPr>
            <w:tcW w:w="2551" w:type="dxa"/>
            <w:vAlign w:val="center"/>
          </w:tcPr>
          <w:p>
            <w:pPr>
              <w:pStyle w:val="13"/>
            </w:pPr>
            <w:r>
              <w:t>2.00</w:t>
            </w:r>
          </w:p>
        </w:tc>
        <w:tc>
          <w:tcPr>
            <w:tcW w:w="3544" w:type="dxa"/>
            <w:gridSpan w:val="2"/>
            <w:vAlign w:val="center"/>
          </w:tcPr>
          <w:p>
            <w:pPr>
              <w:pStyle w:val="13"/>
            </w:pPr>
            <w:r>
              <w:t>2.56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1.通过网络建设项目，保障医保专线正常使用，确保医保工作正常运转。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医保专线网络使用的数量</w:t>
            </w:r>
          </w:p>
        </w:tc>
        <w:tc>
          <w:tcPr>
            <w:tcW w:w="5386" w:type="dxa"/>
            <w:vAlign w:val="center"/>
          </w:tcPr>
          <w:p>
            <w:pPr>
              <w:pStyle w:val="12"/>
            </w:pPr>
            <w:r>
              <w:t>医保专线网络使用的数量</w:t>
            </w:r>
          </w:p>
        </w:tc>
        <w:tc>
          <w:tcPr>
            <w:tcW w:w="2268" w:type="dxa"/>
            <w:vAlign w:val="center"/>
          </w:tcPr>
          <w:p>
            <w:pPr>
              <w:pStyle w:val="12"/>
            </w:pPr>
            <w:r>
              <w:t>≥3条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医保业务办结率</w:t>
            </w:r>
          </w:p>
        </w:tc>
        <w:tc>
          <w:tcPr>
            <w:tcW w:w="5386" w:type="dxa"/>
            <w:vAlign w:val="center"/>
          </w:tcPr>
          <w:p>
            <w:pPr>
              <w:pStyle w:val="12"/>
            </w:pPr>
            <w:r>
              <w:t>医保业务办结率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医保专线单条成本</w:t>
            </w:r>
          </w:p>
        </w:tc>
        <w:tc>
          <w:tcPr>
            <w:tcW w:w="5386" w:type="dxa"/>
            <w:vAlign w:val="center"/>
          </w:tcPr>
          <w:p>
            <w:pPr>
              <w:pStyle w:val="12"/>
            </w:pPr>
            <w:r>
              <w:t>医保专线单条成本</w:t>
            </w:r>
          </w:p>
        </w:tc>
        <w:tc>
          <w:tcPr>
            <w:tcW w:w="2268" w:type="dxa"/>
            <w:vAlign w:val="center"/>
          </w:tcPr>
          <w:p>
            <w:pPr>
              <w:pStyle w:val="12"/>
            </w:pPr>
            <w:r>
              <w:t>≤8534元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业务保障能力较上一年比较</w:t>
            </w:r>
          </w:p>
        </w:tc>
        <w:tc>
          <w:tcPr>
            <w:tcW w:w="5386" w:type="dxa"/>
            <w:vAlign w:val="center"/>
          </w:tcPr>
          <w:p>
            <w:pPr>
              <w:pStyle w:val="12"/>
            </w:pPr>
            <w:r>
              <w:t>业务保障能力较上一年比较</w:t>
            </w:r>
          </w:p>
        </w:tc>
        <w:tc>
          <w:tcPr>
            <w:tcW w:w="2268" w:type="dxa"/>
            <w:vAlign w:val="center"/>
          </w:tcPr>
          <w:p>
            <w:pPr>
              <w:pStyle w:val="12"/>
            </w:pPr>
            <w:r>
              <w:t>较上年有所提升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p>
            <w:pPr>
              <w:pStyle w:val="12"/>
            </w:pP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4、医保政策宣传经费绩效目标表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13063425P00449410002W</w:t>
            </w:r>
          </w:p>
        </w:tc>
        <w:tc>
          <w:tcPr>
            <w:tcW w:w="2835" w:type="dxa"/>
            <w:vAlign w:val="center"/>
          </w:tcPr>
          <w:p>
            <w:pPr>
              <w:pStyle w:val="10"/>
            </w:pPr>
            <w:r>
              <w:t>项目名称</w:t>
            </w:r>
          </w:p>
        </w:tc>
        <w:tc>
          <w:tcPr>
            <w:tcW w:w="6095" w:type="dxa"/>
            <w:gridSpan w:val="3"/>
            <w:vAlign w:val="center"/>
          </w:tcPr>
          <w:p>
            <w:pPr>
              <w:pStyle w:val="12"/>
            </w:pPr>
            <w:r>
              <w:t>医保政策宣传经费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预算数4.2万元，其中县级资金安排4.2万元，主要用于宣传医保政策支出。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1.50</w:t>
            </w:r>
          </w:p>
        </w:tc>
        <w:tc>
          <w:tcPr>
            <w:tcW w:w="2551" w:type="dxa"/>
            <w:vAlign w:val="center"/>
          </w:tcPr>
          <w:p>
            <w:pPr>
              <w:pStyle w:val="13"/>
            </w:pPr>
            <w:r>
              <w:t>3.00</w:t>
            </w:r>
          </w:p>
        </w:tc>
        <w:tc>
          <w:tcPr>
            <w:tcW w:w="3544" w:type="dxa"/>
            <w:gridSpan w:val="2"/>
            <w:vAlign w:val="center"/>
          </w:tcPr>
          <w:p>
            <w:pPr>
              <w:pStyle w:val="13"/>
            </w:pPr>
            <w:r>
              <w:t>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1.通过宣传活动，提升我县医疗保障政策知晓程度。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下乡宣传政策次数</w:t>
            </w:r>
          </w:p>
        </w:tc>
        <w:tc>
          <w:tcPr>
            <w:tcW w:w="5386" w:type="dxa"/>
            <w:vAlign w:val="center"/>
          </w:tcPr>
          <w:p>
            <w:pPr>
              <w:pStyle w:val="12"/>
            </w:pPr>
            <w:r>
              <w:t>下乡宣传政策次数</w:t>
            </w:r>
          </w:p>
        </w:tc>
        <w:tc>
          <w:tcPr>
            <w:tcW w:w="2268" w:type="dxa"/>
            <w:vAlign w:val="center"/>
          </w:tcPr>
          <w:p>
            <w:pPr>
              <w:pStyle w:val="12"/>
            </w:pPr>
            <w:r>
              <w:t>≥100车次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5386" w:type="dxa"/>
            <w:vAlign w:val="center"/>
          </w:tcPr>
          <w:p>
            <w:pPr>
              <w:pStyle w:val="12"/>
            </w:pPr>
            <w:r>
              <w:t>宣传目标完成率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医保政策宣传活动举办及时性</w:t>
            </w:r>
          </w:p>
        </w:tc>
        <w:tc>
          <w:tcPr>
            <w:tcW w:w="5386" w:type="dxa"/>
            <w:vAlign w:val="center"/>
          </w:tcPr>
          <w:p>
            <w:pPr>
              <w:pStyle w:val="12"/>
            </w:pPr>
            <w:r>
              <w:t>医保政策宣传活动举办及时性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平均每车次成本控制</w:t>
            </w:r>
          </w:p>
        </w:tc>
        <w:tc>
          <w:tcPr>
            <w:tcW w:w="5386" w:type="dxa"/>
            <w:vAlign w:val="center"/>
          </w:tcPr>
          <w:p>
            <w:pPr>
              <w:pStyle w:val="12"/>
            </w:pPr>
            <w:r>
              <w:t>平均每车次成本控制</w:t>
            </w:r>
          </w:p>
        </w:tc>
        <w:tc>
          <w:tcPr>
            <w:tcW w:w="2268" w:type="dxa"/>
            <w:vAlign w:val="center"/>
          </w:tcPr>
          <w:p>
            <w:pPr>
              <w:pStyle w:val="12"/>
            </w:pPr>
            <w:r>
              <w:t>≤400元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医保政策宣传知晓率</w:t>
            </w:r>
          </w:p>
        </w:tc>
        <w:tc>
          <w:tcPr>
            <w:tcW w:w="5386" w:type="dxa"/>
            <w:vAlign w:val="center"/>
          </w:tcPr>
          <w:p>
            <w:pPr>
              <w:pStyle w:val="12"/>
            </w:pPr>
            <w:r>
              <w:t>医保政策宣传知晓率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5、医疗保障综合事务经费绩效目标表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13063425P00736M10002P</w:t>
            </w:r>
          </w:p>
        </w:tc>
        <w:tc>
          <w:tcPr>
            <w:tcW w:w="2835" w:type="dxa"/>
            <w:vAlign w:val="center"/>
          </w:tcPr>
          <w:p>
            <w:pPr>
              <w:pStyle w:val="10"/>
            </w:pPr>
            <w:r>
              <w:t>项目名称</w:t>
            </w:r>
          </w:p>
        </w:tc>
        <w:tc>
          <w:tcPr>
            <w:tcW w:w="6095" w:type="dxa"/>
            <w:gridSpan w:val="3"/>
            <w:vAlign w:val="center"/>
          </w:tcPr>
          <w:p>
            <w:pPr>
              <w:pStyle w:val="12"/>
            </w:pPr>
            <w:r>
              <w:t>医疗保障综合事务经费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4.77</w:t>
            </w:r>
          </w:p>
        </w:tc>
        <w:tc>
          <w:tcPr>
            <w:tcW w:w="2835" w:type="dxa"/>
            <w:vAlign w:val="center"/>
          </w:tcPr>
          <w:p>
            <w:pPr>
              <w:pStyle w:val="10"/>
            </w:pPr>
            <w:r>
              <w:t>其中：财政    资金</w:t>
            </w:r>
          </w:p>
        </w:tc>
        <w:tc>
          <w:tcPr>
            <w:tcW w:w="2551" w:type="dxa"/>
            <w:vAlign w:val="center"/>
          </w:tcPr>
          <w:p>
            <w:pPr>
              <w:pStyle w:val="12"/>
            </w:pPr>
            <w:r>
              <w:t>4.77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预算数47736元，其中县级资金安排47736元，主要用于综合事务支出。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4.77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1.通过购买办公用品，确保基层医疗单位医疗工作有序开展。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办公用品购置数量</w:t>
            </w:r>
          </w:p>
        </w:tc>
        <w:tc>
          <w:tcPr>
            <w:tcW w:w="5386" w:type="dxa"/>
            <w:vAlign w:val="center"/>
          </w:tcPr>
          <w:p>
            <w:pPr>
              <w:pStyle w:val="12"/>
            </w:pPr>
            <w:r>
              <w:t>办公用品购置数量</w:t>
            </w:r>
          </w:p>
        </w:tc>
        <w:tc>
          <w:tcPr>
            <w:tcW w:w="2268" w:type="dxa"/>
            <w:vAlign w:val="center"/>
          </w:tcPr>
          <w:p>
            <w:pPr>
              <w:pStyle w:val="12"/>
            </w:pPr>
            <w:r>
              <w:t>≥20个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办公用品成本控制</w:t>
            </w:r>
          </w:p>
        </w:tc>
        <w:tc>
          <w:tcPr>
            <w:tcW w:w="5386" w:type="dxa"/>
            <w:vAlign w:val="center"/>
          </w:tcPr>
          <w:p>
            <w:pPr>
              <w:pStyle w:val="12"/>
            </w:pPr>
            <w:r>
              <w:t>办公用品成本控制</w:t>
            </w:r>
          </w:p>
        </w:tc>
        <w:tc>
          <w:tcPr>
            <w:tcW w:w="2268" w:type="dxa"/>
            <w:vAlign w:val="center"/>
          </w:tcPr>
          <w:p>
            <w:pPr>
              <w:pStyle w:val="12"/>
            </w:pPr>
            <w:r>
              <w:t>≤47736元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医保服务的改善与提升</w:t>
            </w:r>
          </w:p>
        </w:tc>
        <w:tc>
          <w:tcPr>
            <w:tcW w:w="5386" w:type="dxa"/>
            <w:vAlign w:val="center"/>
          </w:tcPr>
          <w:p>
            <w:pPr>
              <w:pStyle w:val="12"/>
            </w:pPr>
            <w:r>
              <w:t>医保服务的改善与提升</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6、医疗服务与保障能力提升补助资金绩效目标表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13063425P00450010002W</w:t>
            </w:r>
          </w:p>
        </w:tc>
        <w:tc>
          <w:tcPr>
            <w:tcW w:w="2835" w:type="dxa"/>
            <w:vAlign w:val="center"/>
          </w:tcPr>
          <w:p>
            <w:pPr>
              <w:pStyle w:val="10"/>
            </w:pPr>
            <w:r>
              <w:t>项目名称</w:t>
            </w:r>
          </w:p>
        </w:tc>
        <w:tc>
          <w:tcPr>
            <w:tcW w:w="6095" w:type="dxa"/>
            <w:gridSpan w:val="3"/>
            <w:vAlign w:val="center"/>
          </w:tcPr>
          <w:p>
            <w:pPr>
              <w:pStyle w:val="12"/>
            </w:pPr>
            <w:r>
              <w:t>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预算34万元，中央资金安排34万元，主要用于医疗服务与保障能力提升支出。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10.00</w:t>
            </w:r>
          </w:p>
        </w:tc>
        <w:tc>
          <w:tcPr>
            <w:tcW w:w="2551" w:type="dxa"/>
            <w:vAlign w:val="center"/>
          </w:tcPr>
          <w:p>
            <w:pPr>
              <w:pStyle w:val="13"/>
            </w:pPr>
            <w:r>
              <w:t>25.00</w:t>
            </w:r>
          </w:p>
        </w:tc>
        <w:tc>
          <w:tcPr>
            <w:tcW w:w="3544" w:type="dxa"/>
            <w:gridSpan w:val="2"/>
            <w:vAlign w:val="center"/>
          </w:tcPr>
          <w:p>
            <w:pPr>
              <w:pStyle w:val="13"/>
            </w:pPr>
            <w:r>
              <w:t>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1.通过医疗服务提升能力，提高定点医药机构监督检查覆盖，推行医保支付方式改革和DIP运行。</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医保政策宣传品印制种类</w:t>
            </w:r>
          </w:p>
        </w:tc>
        <w:tc>
          <w:tcPr>
            <w:tcW w:w="5386" w:type="dxa"/>
            <w:vAlign w:val="center"/>
          </w:tcPr>
          <w:p>
            <w:pPr>
              <w:pStyle w:val="12"/>
            </w:pPr>
            <w:r>
              <w:t>医保政策宣传品印制种类</w:t>
            </w:r>
          </w:p>
        </w:tc>
        <w:tc>
          <w:tcPr>
            <w:tcW w:w="2268" w:type="dxa"/>
            <w:vAlign w:val="center"/>
          </w:tcPr>
          <w:p>
            <w:pPr>
              <w:pStyle w:val="12"/>
            </w:pPr>
            <w:r>
              <w:t>≥3类</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定点医药机构监督检查覆盖率</w:t>
            </w:r>
          </w:p>
        </w:tc>
        <w:tc>
          <w:tcPr>
            <w:tcW w:w="5386" w:type="dxa"/>
            <w:vAlign w:val="center"/>
          </w:tcPr>
          <w:p>
            <w:pPr>
              <w:pStyle w:val="12"/>
            </w:pPr>
            <w:r>
              <w:t>定点医药机构监督检查覆盖率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启动宣传月活动时间</w:t>
            </w:r>
          </w:p>
        </w:tc>
        <w:tc>
          <w:tcPr>
            <w:tcW w:w="5386" w:type="dxa"/>
            <w:vAlign w:val="center"/>
          </w:tcPr>
          <w:p>
            <w:pPr>
              <w:pStyle w:val="12"/>
            </w:pPr>
            <w:r>
              <w:t>启动宣传月活动时间</w:t>
            </w:r>
          </w:p>
        </w:tc>
        <w:tc>
          <w:tcPr>
            <w:tcW w:w="2268" w:type="dxa"/>
            <w:vAlign w:val="center"/>
          </w:tcPr>
          <w:p>
            <w:pPr>
              <w:pStyle w:val="12"/>
            </w:pPr>
            <w:r>
              <w:t>不晚于6月底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医疗服务与保障能力提升资金成本控制</w:t>
            </w:r>
          </w:p>
        </w:tc>
        <w:tc>
          <w:tcPr>
            <w:tcW w:w="5386" w:type="dxa"/>
            <w:vAlign w:val="center"/>
          </w:tcPr>
          <w:p>
            <w:pPr>
              <w:pStyle w:val="12"/>
            </w:pPr>
            <w:r>
              <w:t>医疗服务与保障能力提升资金成本控制</w:t>
            </w:r>
          </w:p>
        </w:tc>
        <w:tc>
          <w:tcPr>
            <w:tcW w:w="2268" w:type="dxa"/>
            <w:vAlign w:val="center"/>
          </w:tcPr>
          <w:p>
            <w:pPr>
              <w:pStyle w:val="12"/>
            </w:pPr>
            <w:r>
              <w:t>≤34万元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参保人员对医保服务的满意度</w:t>
            </w:r>
          </w:p>
        </w:tc>
        <w:tc>
          <w:tcPr>
            <w:tcW w:w="5386" w:type="dxa"/>
            <w:vAlign w:val="center"/>
          </w:tcPr>
          <w:p>
            <w:pPr>
              <w:pStyle w:val="12"/>
            </w:pPr>
            <w:r>
              <w:t>参保人员对医保服务的满意度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473001曲阳县医疗保障局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35.74</w:t>
            </w:r>
          </w:p>
        </w:tc>
        <w:tc>
          <w:tcPr>
            <w:tcW w:w="964" w:type="dxa"/>
            <w:vAlign w:val="center"/>
          </w:tcPr>
          <w:p>
            <w:pPr>
              <w:pStyle w:val="15"/>
            </w:pPr>
            <w:r>
              <w:t>35.74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曲阳县医疗保障局小计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35.74</w:t>
            </w:r>
          </w:p>
        </w:tc>
        <w:tc>
          <w:tcPr>
            <w:tcW w:w="964" w:type="dxa"/>
            <w:vAlign w:val="center"/>
          </w:tcPr>
          <w:p>
            <w:pPr>
              <w:pStyle w:val="15"/>
            </w:pPr>
            <w:r>
              <w:t>35.74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1.50</w:t>
            </w:r>
          </w:p>
        </w:tc>
        <w:tc>
          <w:tcPr>
            <w:tcW w:w="1134" w:type="dxa"/>
            <w:vAlign w:val="center"/>
          </w:tcPr>
          <w:p>
            <w:pPr>
              <w:pStyle w:val="12"/>
            </w:pPr>
            <w:r>
              <w:t>其他普通期刊</w:t>
            </w:r>
          </w:p>
        </w:tc>
        <w:tc>
          <w:tcPr>
            <w:tcW w:w="1134" w:type="dxa"/>
            <w:vAlign w:val="center"/>
          </w:tcPr>
          <w:p>
            <w:pPr>
              <w:pStyle w:val="12"/>
            </w:pPr>
            <w:r>
              <w:t>A04020199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0.74</w:t>
            </w:r>
          </w:p>
        </w:tc>
        <w:tc>
          <w:tcPr>
            <w:tcW w:w="964" w:type="dxa"/>
            <w:vAlign w:val="center"/>
          </w:tcPr>
          <w:p>
            <w:pPr>
              <w:pStyle w:val="11"/>
            </w:pPr>
            <w:r>
              <w:t>0.74</w:t>
            </w:r>
          </w:p>
        </w:tc>
        <w:tc>
          <w:tcPr>
            <w:tcW w:w="964" w:type="dxa"/>
            <w:vAlign w:val="center"/>
          </w:tcPr>
          <w:p>
            <w:pPr>
              <w:pStyle w:val="11"/>
            </w:pPr>
            <w:r>
              <w:t>0.74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医保基金引入第三方监督经费</w:t>
            </w:r>
          </w:p>
        </w:tc>
        <w:tc>
          <w:tcPr>
            <w:tcW w:w="964" w:type="dxa"/>
            <w:vAlign w:val="center"/>
          </w:tcPr>
          <w:p>
            <w:pPr>
              <w:pStyle w:val="11"/>
            </w:pPr>
            <w:r>
              <w:t>14.00</w:t>
            </w:r>
          </w:p>
        </w:tc>
        <w:tc>
          <w:tcPr>
            <w:tcW w:w="1134" w:type="dxa"/>
            <w:vAlign w:val="center"/>
          </w:tcPr>
          <w:p>
            <w:pPr>
              <w:pStyle w:val="12"/>
            </w:pPr>
            <w:r>
              <w:t>其他社会保障服务</w:t>
            </w:r>
          </w:p>
        </w:tc>
        <w:tc>
          <w:tcPr>
            <w:tcW w:w="1134" w:type="dxa"/>
            <w:vAlign w:val="center"/>
          </w:tcPr>
          <w:p>
            <w:pPr>
              <w:pStyle w:val="12"/>
            </w:pPr>
            <w:r>
              <w:t>C05019900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14.00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医疗保障综合事务经费</w:t>
            </w:r>
          </w:p>
        </w:tc>
        <w:tc>
          <w:tcPr>
            <w:tcW w:w="964" w:type="dxa"/>
            <w:vAlign w:val="center"/>
          </w:tcPr>
          <w:p>
            <w:pPr>
              <w:pStyle w:val="11"/>
            </w:pPr>
            <w:r>
              <w:t>4.77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3.80</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医疗服务与保障能力提升补助资金</w:t>
            </w:r>
          </w:p>
        </w:tc>
        <w:tc>
          <w:tcPr>
            <w:tcW w:w="964" w:type="dxa"/>
            <w:vAlign w:val="center"/>
          </w:tcPr>
          <w:p>
            <w:pPr>
              <w:pStyle w:val="11"/>
            </w:pPr>
            <w:r>
              <w:t>34.00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曲阳县医疗保障局上年末固定资产金额为33.69万元（详见下表）。本年度拟购置固定资产总额为0.00万元，已按要求列入政府采购预算，详见政府采购预算表。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473001曲阳县医疗保障局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271</w:t>
            </w:r>
          </w:p>
        </w:tc>
        <w:tc>
          <w:tcPr>
            <w:tcW w:w="2835" w:type="dxa"/>
            <w:vAlign w:val="center"/>
          </w:tcPr>
          <w:p>
            <w:pPr>
              <w:pStyle w:val="11"/>
            </w:pPr>
            <w:r>
              <w:t>33.69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二、曲阳县医疗保险所收支预算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473003曲阳县医疗保险所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129.41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129.41</w:t>
            </w:r>
          </w:p>
        </w:tc>
        <w:tc>
          <w:tcPr>
            <w:tcW w:w="4535" w:type="dxa"/>
            <w:vAlign w:val="center"/>
          </w:tcPr>
          <w:p>
            <w:pPr>
              <w:pStyle w:val="14"/>
            </w:pPr>
            <w:r>
              <w:t>本年支出合计</w:t>
            </w:r>
          </w:p>
        </w:tc>
        <w:tc>
          <w:tcPr>
            <w:tcW w:w="2126" w:type="dxa"/>
            <w:vAlign w:val="center"/>
          </w:tcPr>
          <w:p>
            <w:pPr>
              <w:pStyle w:val="15"/>
            </w:pPr>
            <w:r>
              <w:t>129.41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129.41</w:t>
            </w:r>
          </w:p>
        </w:tc>
        <w:tc>
          <w:tcPr>
            <w:tcW w:w="4535" w:type="dxa"/>
            <w:vAlign w:val="center"/>
          </w:tcPr>
          <w:p>
            <w:pPr>
              <w:pStyle w:val="14"/>
            </w:pPr>
            <w:r>
              <w:t>支出总计</w:t>
            </w:r>
          </w:p>
        </w:tc>
        <w:tc>
          <w:tcPr>
            <w:tcW w:w="2126" w:type="dxa"/>
            <w:vAlign w:val="center"/>
          </w:tcPr>
          <w:p>
            <w:pPr>
              <w:pStyle w:val="15"/>
            </w:pPr>
            <w:r>
              <w:t>129.41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473003曲阳县医疗保险所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129.41</w:t>
            </w:r>
          </w:p>
        </w:tc>
        <w:tc>
          <w:tcPr>
            <w:tcW w:w="1134" w:type="dxa"/>
            <w:vAlign w:val="center"/>
          </w:tcPr>
          <w:p>
            <w:pPr>
              <w:pStyle w:val="15"/>
            </w:pPr>
            <w:r>
              <w:t>129.41</w:t>
            </w:r>
          </w:p>
        </w:tc>
        <w:tc>
          <w:tcPr>
            <w:tcW w:w="1134" w:type="dxa"/>
            <w:vAlign w:val="center"/>
          </w:tcPr>
          <w:p>
            <w:pPr>
              <w:pStyle w:val="15"/>
            </w:pPr>
            <w:r>
              <w:t>129.41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15.05</w:t>
            </w:r>
          </w:p>
        </w:tc>
        <w:tc>
          <w:tcPr>
            <w:tcW w:w="1134" w:type="dxa"/>
            <w:vAlign w:val="center"/>
          </w:tcPr>
          <w:p>
            <w:pPr>
              <w:pStyle w:val="11"/>
            </w:pPr>
            <w:r>
              <w:t>15.05</w:t>
            </w:r>
          </w:p>
        </w:tc>
        <w:tc>
          <w:tcPr>
            <w:tcW w:w="1134" w:type="dxa"/>
            <w:vAlign w:val="center"/>
          </w:tcPr>
          <w:p>
            <w:pPr>
              <w:pStyle w:val="11"/>
            </w:pPr>
            <w:r>
              <w:t>15.05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15.05</w:t>
            </w:r>
          </w:p>
        </w:tc>
        <w:tc>
          <w:tcPr>
            <w:tcW w:w="1134" w:type="dxa"/>
            <w:vAlign w:val="center"/>
          </w:tcPr>
          <w:p>
            <w:pPr>
              <w:pStyle w:val="11"/>
            </w:pPr>
            <w:r>
              <w:t>15.05</w:t>
            </w:r>
          </w:p>
        </w:tc>
        <w:tc>
          <w:tcPr>
            <w:tcW w:w="1134" w:type="dxa"/>
            <w:vAlign w:val="center"/>
          </w:tcPr>
          <w:p>
            <w:pPr>
              <w:pStyle w:val="11"/>
            </w:pPr>
            <w:r>
              <w:t>15.05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3.24</w:t>
            </w:r>
          </w:p>
        </w:tc>
        <w:tc>
          <w:tcPr>
            <w:tcW w:w="1134" w:type="dxa"/>
            <w:vAlign w:val="center"/>
          </w:tcPr>
          <w:p>
            <w:pPr>
              <w:pStyle w:val="11"/>
            </w:pPr>
            <w:r>
              <w:t>3.24</w:t>
            </w:r>
          </w:p>
        </w:tc>
        <w:tc>
          <w:tcPr>
            <w:tcW w:w="1134" w:type="dxa"/>
            <w:vAlign w:val="center"/>
          </w:tcPr>
          <w:p>
            <w:pPr>
              <w:pStyle w:val="11"/>
            </w:pPr>
            <w:r>
              <w:t>3.24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11.81</w:t>
            </w:r>
          </w:p>
        </w:tc>
        <w:tc>
          <w:tcPr>
            <w:tcW w:w="1134" w:type="dxa"/>
            <w:vAlign w:val="center"/>
          </w:tcPr>
          <w:p>
            <w:pPr>
              <w:pStyle w:val="11"/>
            </w:pPr>
            <w:r>
              <w:t>11.81</w:t>
            </w:r>
          </w:p>
        </w:tc>
        <w:tc>
          <w:tcPr>
            <w:tcW w:w="1134" w:type="dxa"/>
            <w:vAlign w:val="center"/>
          </w:tcPr>
          <w:p>
            <w:pPr>
              <w:pStyle w:val="11"/>
            </w:pPr>
            <w:r>
              <w:t>11.81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105.60</w:t>
            </w:r>
          </w:p>
        </w:tc>
        <w:tc>
          <w:tcPr>
            <w:tcW w:w="1134" w:type="dxa"/>
            <w:vAlign w:val="center"/>
          </w:tcPr>
          <w:p>
            <w:pPr>
              <w:pStyle w:val="11"/>
            </w:pPr>
            <w:r>
              <w:t>105.60</w:t>
            </w:r>
          </w:p>
        </w:tc>
        <w:tc>
          <w:tcPr>
            <w:tcW w:w="1134" w:type="dxa"/>
            <w:vAlign w:val="center"/>
          </w:tcPr>
          <w:p>
            <w:pPr>
              <w:pStyle w:val="11"/>
            </w:pPr>
            <w:r>
              <w:t>105.60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98.69</w:t>
            </w:r>
          </w:p>
        </w:tc>
        <w:tc>
          <w:tcPr>
            <w:tcW w:w="1134" w:type="dxa"/>
            <w:vAlign w:val="center"/>
          </w:tcPr>
          <w:p>
            <w:pPr>
              <w:pStyle w:val="11"/>
            </w:pPr>
            <w:r>
              <w:t>98.69</w:t>
            </w:r>
          </w:p>
        </w:tc>
        <w:tc>
          <w:tcPr>
            <w:tcW w:w="1134" w:type="dxa"/>
            <w:vAlign w:val="center"/>
          </w:tcPr>
          <w:p>
            <w:pPr>
              <w:pStyle w:val="11"/>
            </w:pPr>
            <w:r>
              <w:t>98.69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90.93</w:t>
            </w:r>
          </w:p>
        </w:tc>
        <w:tc>
          <w:tcPr>
            <w:tcW w:w="1134" w:type="dxa"/>
            <w:vAlign w:val="center"/>
          </w:tcPr>
          <w:p>
            <w:pPr>
              <w:pStyle w:val="11"/>
            </w:pPr>
            <w:r>
              <w:t>90.93</w:t>
            </w:r>
          </w:p>
        </w:tc>
        <w:tc>
          <w:tcPr>
            <w:tcW w:w="1134" w:type="dxa"/>
            <w:vAlign w:val="center"/>
          </w:tcPr>
          <w:p>
            <w:pPr>
              <w:pStyle w:val="11"/>
            </w:pPr>
            <w:r>
              <w:t>90.93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129.41</w:t>
            </w:r>
          </w:p>
        </w:tc>
        <w:tc>
          <w:tcPr>
            <w:tcW w:w="1361" w:type="dxa"/>
            <w:vAlign w:val="center"/>
          </w:tcPr>
          <w:p>
            <w:pPr>
              <w:pStyle w:val="15"/>
            </w:pPr>
            <w:r>
              <w:t>121.65</w:t>
            </w:r>
          </w:p>
        </w:tc>
        <w:tc>
          <w:tcPr>
            <w:tcW w:w="1361" w:type="dxa"/>
            <w:vAlign w:val="center"/>
          </w:tcPr>
          <w:p>
            <w:pPr>
              <w:pStyle w:val="15"/>
            </w:pPr>
            <w:r>
              <w:t>7.76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15.05</w:t>
            </w:r>
          </w:p>
        </w:tc>
        <w:tc>
          <w:tcPr>
            <w:tcW w:w="1361" w:type="dxa"/>
            <w:vAlign w:val="center"/>
          </w:tcPr>
          <w:p>
            <w:pPr>
              <w:pStyle w:val="11"/>
            </w:pPr>
            <w:r>
              <w:t>15.05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15.05</w:t>
            </w:r>
          </w:p>
        </w:tc>
        <w:tc>
          <w:tcPr>
            <w:tcW w:w="1361" w:type="dxa"/>
            <w:vAlign w:val="center"/>
          </w:tcPr>
          <w:p>
            <w:pPr>
              <w:pStyle w:val="11"/>
            </w:pPr>
            <w:r>
              <w:t>15.05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3.24</w:t>
            </w:r>
          </w:p>
        </w:tc>
        <w:tc>
          <w:tcPr>
            <w:tcW w:w="1361" w:type="dxa"/>
            <w:vAlign w:val="center"/>
          </w:tcPr>
          <w:p>
            <w:pPr>
              <w:pStyle w:val="11"/>
            </w:pPr>
            <w:r>
              <w:t>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11.81</w:t>
            </w:r>
          </w:p>
        </w:tc>
        <w:tc>
          <w:tcPr>
            <w:tcW w:w="1361" w:type="dxa"/>
            <w:vAlign w:val="center"/>
          </w:tcPr>
          <w:p>
            <w:pPr>
              <w:pStyle w:val="11"/>
            </w:pPr>
            <w:r>
              <w:t>11.81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105.60</w:t>
            </w:r>
          </w:p>
        </w:tc>
        <w:tc>
          <w:tcPr>
            <w:tcW w:w="1361" w:type="dxa"/>
            <w:vAlign w:val="center"/>
          </w:tcPr>
          <w:p>
            <w:pPr>
              <w:pStyle w:val="11"/>
            </w:pPr>
            <w:r>
              <w:t>97.84</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6.91</w:t>
            </w:r>
          </w:p>
        </w:tc>
        <w:tc>
          <w:tcPr>
            <w:tcW w:w="1361" w:type="dxa"/>
            <w:vAlign w:val="center"/>
          </w:tcPr>
          <w:p>
            <w:pPr>
              <w:pStyle w:val="11"/>
            </w:pPr>
            <w:r>
              <w:t>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1.79</w:t>
            </w:r>
          </w:p>
        </w:tc>
        <w:tc>
          <w:tcPr>
            <w:tcW w:w="1361" w:type="dxa"/>
            <w:vAlign w:val="center"/>
          </w:tcPr>
          <w:p>
            <w:pPr>
              <w:pStyle w:val="11"/>
            </w:pPr>
            <w:r>
              <w:t>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98.69</w:t>
            </w:r>
          </w:p>
        </w:tc>
        <w:tc>
          <w:tcPr>
            <w:tcW w:w="1361" w:type="dxa"/>
            <w:vAlign w:val="center"/>
          </w:tcPr>
          <w:p>
            <w:pPr>
              <w:pStyle w:val="11"/>
            </w:pPr>
            <w:r>
              <w:t>90.93</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2101506</w:t>
            </w:r>
          </w:p>
        </w:tc>
        <w:tc>
          <w:tcPr>
            <w:tcW w:w="4535" w:type="dxa"/>
            <w:vAlign w:val="center"/>
          </w:tcPr>
          <w:p>
            <w:pPr>
              <w:pStyle w:val="12"/>
            </w:pPr>
            <w:r>
              <w:t>医疗保障经办事务</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2101550</w:t>
            </w:r>
          </w:p>
        </w:tc>
        <w:tc>
          <w:tcPr>
            <w:tcW w:w="4535" w:type="dxa"/>
            <w:vAlign w:val="center"/>
          </w:tcPr>
          <w:p>
            <w:pPr>
              <w:pStyle w:val="12"/>
            </w:pPr>
            <w:r>
              <w:t>事业运行</w:t>
            </w:r>
          </w:p>
        </w:tc>
        <w:tc>
          <w:tcPr>
            <w:tcW w:w="1361" w:type="dxa"/>
            <w:vAlign w:val="center"/>
          </w:tcPr>
          <w:p>
            <w:pPr>
              <w:pStyle w:val="11"/>
            </w:pPr>
            <w:r>
              <w:t>90.93</w:t>
            </w:r>
          </w:p>
        </w:tc>
        <w:tc>
          <w:tcPr>
            <w:tcW w:w="1361" w:type="dxa"/>
            <w:vAlign w:val="center"/>
          </w:tcPr>
          <w:p>
            <w:pPr>
              <w:pStyle w:val="11"/>
            </w:pPr>
            <w:r>
              <w:t>90.93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8.76</w:t>
            </w:r>
          </w:p>
        </w:tc>
        <w:tc>
          <w:tcPr>
            <w:tcW w:w="1361" w:type="dxa"/>
            <w:vAlign w:val="center"/>
          </w:tcPr>
          <w:p>
            <w:pPr>
              <w:pStyle w:val="11"/>
            </w:pPr>
            <w:r>
              <w:t>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8.76</w:t>
            </w:r>
          </w:p>
        </w:tc>
        <w:tc>
          <w:tcPr>
            <w:tcW w:w="1361" w:type="dxa"/>
            <w:vAlign w:val="center"/>
          </w:tcPr>
          <w:p>
            <w:pPr>
              <w:pStyle w:val="11"/>
            </w:pPr>
            <w:r>
              <w:t>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8.76</w:t>
            </w:r>
          </w:p>
        </w:tc>
        <w:tc>
          <w:tcPr>
            <w:tcW w:w="1361" w:type="dxa"/>
            <w:vAlign w:val="center"/>
          </w:tcPr>
          <w:p>
            <w:pPr>
              <w:pStyle w:val="11"/>
            </w:pPr>
            <w:r>
              <w:t>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129.41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15.05</w:t>
            </w:r>
          </w:p>
        </w:tc>
        <w:tc>
          <w:tcPr>
            <w:tcW w:w="1474" w:type="dxa"/>
            <w:vAlign w:val="center"/>
          </w:tcPr>
          <w:p>
            <w:pPr>
              <w:pStyle w:val="11"/>
            </w:pPr>
            <w:r>
              <w:t>15.05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105.60</w:t>
            </w:r>
          </w:p>
        </w:tc>
        <w:tc>
          <w:tcPr>
            <w:tcW w:w="1474" w:type="dxa"/>
            <w:vAlign w:val="center"/>
          </w:tcPr>
          <w:p>
            <w:pPr>
              <w:pStyle w:val="11"/>
            </w:pPr>
            <w:r>
              <w:t>105.60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8.76</w:t>
            </w:r>
          </w:p>
        </w:tc>
        <w:tc>
          <w:tcPr>
            <w:tcW w:w="1474" w:type="dxa"/>
            <w:vAlign w:val="center"/>
          </w:tcPr>
          <w:p>
            <w:pPr>
              <w:pStyle w:val="11"/>
            </w:pPr>
            <w:r>
              <w:t>8.76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129.41</w:t>
            </w:r>
          </w:p>
        </w:tc>
        <w:tc>
          <w:tcPr>
            <w:tcW w:w="3402" w:type="dxa"/>
            <w:vAlign w:val="center"/>
          </w:tcPr>
          <w:p>
            <w:pPr>
              <w:pStyle w:val="14"/>
            </w:pPr>
            <w:r>
              <w:t>本年支出合计</w:t>
            </w:r>
          </w:p>
        </w:tc>
        <w:tc>
          <w:tcPr>
            <w:tcW w:w="1474" w:type="dxa"/>
            <w:vAlign w:val="center"/>
          </w:tcPr>
          <w:p>
            <w:pPr>
              <w:pStyle w:val="15"/>
            </w:pPr>
            <w:r>
              <w:t>129.41</w:t>
            </w:r>
          </w:p>
        </w:tc>
        <w:tc>
          <w:tcPr>
            <w:tcW w:w="1474" w:type="dxa"/>
            <w:vAlign w:val="center"/>
          </w:tcPr>
          <w:p>
            <w:pPr>
              <w:pStyle w:val="15"/>
            </w:pPr>
            <w:r>
              <w:t>129.41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129.41</w:t>
            </w:r>
          </w:p>
        </w:tc>
        <w:tc>
          <w:tcPr>
            <w:tcW w:w="3402" w:type="dxa"/>
            <w:vAlign w:val="center"/>
          </w:tcPr>
          <w:p>
            <w:pPr>
              <w:pStyle w:val="14"/>
            </w:pPr>
            <w:r>
              <w:t>支出总计</w:t>
            </w:r>
          </w:p>
        </w:tc>
        <w:tc>
          <w:tcPr>
            <w:tcW w:w="1474" w:type="dxa"/>
            <w:vAlign w:val="center"/>
          </w:tcPr>
          <w:p>
            <w:pPr>
              <w:pStyle w:val="15"/>
            </w:pPr>
            <w:r>
              <w:t>129.41</w:t>
            </w:r>
          </w:p>
        </w:tc>
        <w:tc>
          <w:tcPr>
            <w:tcW w:w="1474" w:type="dxa"/>
            <w:vAlign w:val="center"/>
          </w:tcPr>
          <w:p>
            <w:pPr>
              <w:pStyle w:val="15"/>
            </w:pPr>
            <w:r>
              <w:t>129.41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129.41</w:t>
            </w:r>
          </w:p>
        </w:tc>
        <w:tc>
          <w:tcPr>
            <w:tcW w:w="2551" w:type="dxa"/>
            <w:vAlign w:val="center"/>
          </w:tcPr>
          <w:p>
            <w:pPr>
              <w:pStyle w:val="15"/>
            </w:pPr>
            <w:r>
              <w:t>121.65</w:t>
            </w:r>
          </w:p>
        </w:tc>
        <w:tc>
          <w:tcPr>
            <w:tcW w:w="2551" w:type="dxa"/>
            <w:vAlign w:val="center"/>
          </w:tcPr>
          <w:p>
            <w:pPr>
              <w:pStyle w:val="15"/>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15.05</w:t>
            </w:r>
          </w:p>
        </w:tc>
        <w:tc>
          <w:tcPr>
            <w:tcW w:w="2551" w:type="dxa"/>
            <w:vAlign w:val="center"/>
          </w:tcPr>
          <w:p>
            <w:pPr>
              <w:pStyle w:val="11"/>
            </w:pPr>
            <w:r>
              <w:t>15.05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15.05</w:t>
            </w:r>
          </w:p>
        </w:tc>
        <w:tc>
          <w:tcPr>
            <w:tcW w:w="2551" w:type="dxa"/>
            <w:vAlign w:val="center"/>
          </w:tcPr>
          <w:p>
            <w:pPr>
              <w:pStyle w:val="11"/>
            </w:pPr>
            <w:r>
              <w:t>15.05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11.81</w:t>
            </w:r>
          </w:p>
        </w:tc>
        <w:tc>
          <w:tcPr>
            <w:tcW w:w="2551" w:type="dxa"/>
            <w:vAlign w:val="center"/>
          </w:tcPr>
          <w:p>
            <w:pPr>
              <w:pStyle w:val="11"/>
            </w:pPr>
            <w:r>
              <w:t>11.81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105.60</w:t>
            </w:r>
          </w:p>
        </w:tc>
        <w:tc>
          <w:tcPr>
            <w:tcW w:w="2551" w:type="dxa"/>
            <w:vAlign w:val="center"/>
          </w:tcPr>
          <w:p>
            <w:pPr>
              <w:pStyle w:val="11"/>
            </w:pPr>
            <w:r>
              <w:t>97.84</w:t>
            </w: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6.91</w:t>
            </w:r>
          </w:p>
        </w:tc>
        <w:tc>
          <w:tcPr>
            <w:tcW w:w="2551" w:type="dxa"/>
            <w:vAlign w:val="center"/>
          </w:tcPr>
          <w:p>
            <w:pPr>
              <w:pStyle w:val="11"/>
            </w:pPr>
            <w:r>
              <w:t>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98.69</w:t>
            </w:r>
          </w:p>
        </w:tc>
        <w:tc>
          <w:tcPr>
            <w:tcW w:w="2551" w:type="dxa"/>
            <w:vAlign w:val="center"/>
          </w:tcPr>
          <w:p>
            <w:pPr>
              <w:pStyle w:val="11"/>
            </w:pPr>
            <w:r>
              <w:t>90.93</w:t>
            </w: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7.76</w:t>
            </w:r>
          </w:p>
        </w:tc>
        <w:tc>
          <w:tcPr>
            <w:tcW w:w="2551" w:type="dxa"/>
            <w:vAlign w:val="center"/>
          </w:tcPr>
          <w:p>
            <w:pPr>
              <w:pStyle w:val="11"/>
            </w:pP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90.93</w:t>
            </w:r>
          </w:p>
        </w:tc>
        <w:tc>
          <w:tcPr>
            <w:tcW w:w="2551" w:type="dxa"/>
            <w:vAlign w:val="center"/>
          </w:tcPr>
          <w:p>
            <w:pPr>
              <w:pStyle w:val="11"/>
            </w:pPr>
            <w:r>
              <w:t>90.93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121.65</w:t>
            </w:r>
          </w:p>
        </w:tc>
        <w:tc>
          <w:tcPr>
            <w:tcW w:w="2551" w:type="dxa"/>
            <w:vAlign w:val="center"/>
          </w:tcPr>
          <w:p>
            <w:pPr>
              <w:pStyle w:val="15"/>
            </w:pPr>
            <w:r>
              <w:t>116.86</w:t>
            </w:r>
          </w:p>
        </w:tc>
        <w:tc>
          <w:tcPr>
            <w:tcW w:w="2551" w:type="dxa"/>
            <w:vAlign w:val="center"/>
          </w:tcPr>
          <w:p>
            <w:pPr>
              <w:pStyle w:val="15"/>
            </w:pPr>
            <w:r>
              <w:t>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113.62</w:t>
            </w:r>
          </w:p>
        </w:tc>
        <w:tc>
          <w:tcPr>
            <w:tcW w:w="2551" w:type="dxa"/>
            <w:vAlign w:val="center"/>
          </w:tcPr>
          <w:p>
            <w:pPr>
              <w:pStyle w:val="11"/>
            </w:pPr>
            <w:r>
              <w:t>113.62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49.27</w:t>
            </w:r>
          </w:p>
        </w:tc>
        <w:tc>
          <w:tcPr>
            <w:tcW w:w="2551" w:type="dxa"/>
            <w:vAlign w:val="center"/>
          </w:tcPr>
          <w:p>
            <w:pPr>
              <w:pStyle w:val="11"/>
            </w:pPr>
            <w:r>
              <w:t>49.27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27.83</w:t>
            </w:r>
          </w:p>
        </w:tc>
        <w:tc>
          <w:tcPr>
            <w:tcW w:w="2551" w:type="dxa"/>
            <w:vAlign w:val="center"/>
          </w:tcPr>
          <w:p>
            <w:pPr>
              <w:pStyle w:val="11"/>
            </w:pPr>
            <w:r>
              <w:t>27.83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11.81</w:t>
            </w:r>
          </w:p>
        </w:tc>
        <w:tc>
          <w:tcPr>
            <w:tcW w:w="2551" w:type="dxa"/>
            <w:vAlign w:val="center"/>
          </w:tcPr>
          <w:p>
            <w:pPr>
              <w:pStyle w:val="11"/>
            </w:pPr>
            <w:r>
              <w:t>11.81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4.79</w:t>
            </w:r>
          </w:p>
        </w:tc>
        <w:tc>
          <w:tcPr>
            <w:tcW w:w="2551" w:type="dxa"/>
            <w:vAlign w:val="center"/>
          </w:tcPr>
          <w:p>
            <w:pPr>
              <w:pStyle w:val="11"/>
            </w:pPr>
          </w:p>
        </w:tc>
        <w:tc>
          <w:tcPr>
            <w:tcW w:w="2551" w:type="dxa"/>
            <w:vAlign w:val="center"/>
          </w:tcPr>
          <w:p>
            <w:pPr>
              <w:pStyle w:val="11"/>
            </w:pPr>
            <w:r>
              <w:t>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曲阳县医疗保险所2025年单位预算信息公开情况说明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按照《中华人民共和国预算法》、《地方预决算公开操作规程》和《关于进一步推进预算公开工作的实施意见》规定，现将曲阳县医疗保险所2025年单位预算公开如下：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1.贯彻执行城镇职工医疗保险、生育保险、补充医疗保险、离休干部公费医疗、公务员医疗补助等医疗保障政策法规，拟定全县相关配套政策、制度、规划和标准。</w:t>
      </w:r>
    </w:p>
    <w:p>
      <w:pPr>
        <w:pStyle w:val="17"/>
      </w:pPr>
      <w:r>
        <w:t>2.执行医疗保险基金监督管理政策，完善医疗保障基金监督管理办法，建立健全医疗保障基金安全防控机制，组织建设网络信息和智能监控平台，推进医疗保障基金支付方式改革与实施。</w:t>
      </w:r>
    </w:p>
    <w:p>
      <w:pPr>
        <w:pStyle w:val="17"/>
      </w:pPr>
      <w:r>
        <w:t>3.落实全县城镇职工参保缴费和待遇保障政策。</w:t>
      </w:r>
    </w:p>
    <w:p>
      <w:pPr>
        <w:pStyle w:val="17"/>
      </w:pPr>
      <w:r>
        <w:t>4.落实全县定点医药机构协议和支付管理办法并组织实施。建立健全医疗保障信用评价体系和信息披露制度，监督管理定点医药机构的医疗服务行为、医疗费用和医药价格，依法查处医疗保障领域违法违规行为。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pPr>
      <w:r>
        <w:t>5.负责医疗保障经办管理、公共服务体系和信息化建设。落实异地就医管理和费用结算政策，建立健全医疗保障关系转移接续制度。</w:t>
      </w:r>
    </w:p>
    <w:p>
      <w:pPr>
        <w:pStyle w:val="17"/>
      </w:pPr>
      <w:r>
        <w:t>6.完成县委、县政府交办的其他任务。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曲阳县医疗保险所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w:t>
      </w:r>
      <w:r>
        <w:rPr>
          <w:rFonts w:hint="eastAsia"/>
          <w:lang w:val="en-US" w:eastAsia="zh-CN"/>
        </w:rPr>
        <w:t>5</w:t>
      </w:r>
      <w:r>
        <w:t>年预算收入133.97万元，其中：一般公共预算收入133.97万元，基金预算收入0.00万元，国有资本经营预算收入0.00万元，财政专户核拨收入0.00万元，单位资金收入0.00万元，上年结转结余0.00万元。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收支预算总表支出栏、基本支出表、项目支出表按经济分类和支出功能分类科目编制，反映曲阳县医疗保险所年度单位预算中支出预算的总体情况。202</w:t>
      </w:r>
      <w:r>
        <w:rPr>
          <w:rFonts w:hint="eastAsia"/>
          <w:lang w:val="en-US" w:eastAsia="zh-CN"/>
        </w:rPr>
        <w:t>5</w:t>
      </w:r>
      <w:r>
        <w:t>年支出预算133.97万元，其中基本支出125.24万元，包括人员经费120.20万元和日常公用经费5.04万元；项目支出8.73万元，主要为门诊特殊疾病评审鉴定工作专项经费2万元、医保所劳务派遣人员所需费用5.33万元、档案室维护经费1.4万元。</w:t>
      </w:r>
    </w:p>
    <w:p>
      <w:pPr>
        <w:pStyle w:val="18"/>
      </w:pPr>
      <w:r>
        <w:t>3、比上年增减情况</w:t>
      </w:r>
    </w:p>
    <w:p>
      <w:pPr>
        <w:pStyle w:val="18"/>
      </w:pPr>
      <w:r>
        <w:t>202</w:t>
      </w:r>
      <w:r>
        <w:rPr>
          <w:rFonts w:hint="eastAsia"/>
          <w:lang w:val="en-US" w:eastAsia="zh-CN"/>
        </w:rPr>
        <w:t>5</w:t>
      </w:r>
      <w:r>
        <w:t>年预算收支安排133.97万元，较202</w:t>
      </w:r>
      <w:r>
        <w:rPr>
          <w:rFonts w:hint="eastAsia"/>
          <w:lang w:val="en-US" w:eastAsia="zh-CN"/>
        </w:rPr>
        <w:t>4</w:t>
      </w:r>
      <w:r>
        <w:t>年预算增加3.85万元，其中：基本支出增加3.23万元，主要为人员调整薪级工资，保险、公积金基数调整，导致基本支出增加。项目支出增加0.62万元，主要为劳务派遣人员经费增加0.62万元。</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firstLine="560" w:firstLineChars="200"/>
        <w:jc w:val="left"/>
        <w:outlineLvl w:val="5"/>
      </w:pPr>
      <w:r>
        <w:rPr>
          <w:rFonts w:ascii="Times New Roman" w:hAnsi="Times New Roman" w:eastAsia="方正仿宋_GBK" w:cs="Times New Roman"/>
          <w:sz w:val="28"/>
          <w:szCs w:val="20"/>
        </w:rPr>
        <w:t>202</w:t>
      </w:r>
      <w:r>
        <w:rPr>
          <w:rFonts w:hint="eastAsia" w:eastAsia="方正仿宋_GBK" w:cs="Times New Roman"/>
          <w:sz w:val="28"/>
          <w:szCs w:val="20"/>
          <w:lang w:val="en-US" w:eastAsia="zh-CN"/>
        </w:rPr>
        <w:t>5</w:t>
      </w:r>
      <w:r>
        <w:rPr>
          <w:rFonts w:ascii="Times New Roman" w:hAnsi="Times New Roman" w:eastAsia="方正仿宋_GBK" w:cs="Times New Roman"/>
          <w:sz w:val="28"/>
          <w:szCs w:val="20"/>
        </w:rPr>
        <w:t>年，我单位运行经费共计安排</w:t>
      </w:r>
      <w:r>
        <w:rPr>
          <w:rFonts w:hint="eastAsia" w:eastAsia="方正仿宋_GBK" w:cs="Times New Roman"/>
          <w:sz w:val="28"/>
          <w:szCs w:val="20"/>
          <w:lang w:val="en-US" w:eastAsia="zh-CN"/>
        </w:rPr>
        <w:t>4.79</w:t>
      </w:r>
      <w:r>
        <w:rPr>
          <w:rFonts w:ascii="Times New Roman" w:hAnsi="Times New Roman" w:eastAsia="方正仿宋_GBK" w:cs="Times New Roman"/>
          <w:sz w:val="28"/>
          <w:szCs w:val="20"/>
        </w:rPr>
        <w:t>万元，主要用于日常维修、办公用房水电费、办公用房取暖费、办公用房物业管理费等日常运行支出</w:t>
      </w:r>
      <w:r>
        <w:rPr>
          <w:rFonts w:hint="eastAsia" w:ascii="Times New Roman" w:hAnsi="Times New Roman" w:eastAsia="方正仿宋_GBK" w:cs="Times New Roman"/>
          <w:sz w:val="28"/>
          <w:szCs w:val="20"/>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年，我单位财政拨款“三公”经费预算安排0.80万元，其中因公出国（境）费0.00万元；公务用车购置及运维费0.80万元（其中：公务用车购置费为0.00万元，公务用车运维费0.80万元)；公务接待费0.00万元。与202</w:t>
      </w:r>
      <w:r>
        <w:rPr>
          <w:rFonts w:hint="eastAsia"/>
          <w:lang w:val="en-US" w:eastAsia="zh-CN"/>
        </w:rPr>
        <w:t>4</w:t>
      </w:r>
      <w:r>
        <w:t>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1、档案室维护经费绩效目标表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13063425P009T80100026</w:t>
            </w:r>
          </w:p>
        </w:tc>
        <w:tc>
          <w:tcPr>
            <w:tcW w:w="2835" w:type="dxa"/>
            <w:vAlign w:val="center"/>
          </w:tcPr>
          <w:p>
            <w:pPr>
              <w:pStyle w:val="10"/>
            </w:pPr>
            <w:r>
              <w:t>项目名称</w:t>
            </w:r>
          </w:p>
        </w:tc>
        <w:tc>
          <w:tcPr>
            <w:tcW w:w="6095" w:type="dxa"/>
            <w:gridSpan w:val="3"/>
            <w:vAlign w:val="center"/>
          </w:tcPr>
          <w:p>
            <w:pPr>
              <w:pStyle w:val="12"/>
            </w:pPr>
            <w:r>
              <w:t>档案室维护经费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w:t>
            </w:r>
          </w:p>
        </w:tc>
        <w:tc>
          <w:tcPr>
            <w:tcW w:w="2835" w:type="dxa"/>
            <w:vAlign w:val="center"/>
          </w:tcPr>
          <w:p>
            <w:pPr>
              <w:pStyle w:val="10"/>
            </w:pPr>
            <w:r>
              <w:t>其中：财政    资金</w:t>
            </w:r>
          </w:p>
        </w:tc>
        <w:tc>
          <w:tcPr>
            <w:tcW w:w="2551" w:type="dxa"/>
            <w:vAlign w:val="center"/>
          </w:tcPr>
          <w:p>
            <w:pPr>
              <w:pStyle w:val="12"/>
            </w:pPr>
            <w:r>
              <w:t>1.12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预算数1.12万元，县级安排资金1.12万元，主要用于对收集的医疗保险档案材料进行分类归档整理。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0.28</w:t>
            </w:r>
          </w:p>
        </w:tc>
        <w:tc>
          <w:tcPr>
            <w:tcW w:w="2835" w:type="dxa"/>
            <w:vAlign w:val="center"/>
          </w:tcPr>
          <w:p>
            <w:pPr>
              <w:pStyle w:val="13"/>
            </w:pPr>
            <w:r>
              <w:t>0.56</w:t>
            </w:r>
          </w:p>
        </w:tc>
        <w:tc>
          <w:tcPr>
            <w:tcW w:w="2551" w:type="dxa"/>
            <w:vAlign w:val="center"/>
          </w:tcPr>
          <w:p>
            <w:pPr>
              <w:pStyle w:val="13"/>
            </w:pPr>
            <w:r>
              <w:t>0.84</w:t>
            </w:r>
          </w:p>
        </w:tc>
        <w:tc>
          <w:tcPr>
            <w:tcW w:w="3544" w:type="dxa"/>
            <w:gridSpan w:val="2"/>
            <w:vAlign w:val="center"/>
          </w:tcPr>
          <w:p>
            <w:pPr>
              <w:pStyle w:val="13"/>
            </w:pPr>
            <w:r>
              <w:t>1.12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1.目标内容1：通过对收集的医疗保险档案材料进行分类归档整理，确保业务财务档案规范化、专业化。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档案归档数量</w:t>
            </w:r>
          </w:p>
        </w:tc>
        <w:tc>
          <w:tcPr>
            <w:tcW w:w="5386" w:type="dxa"/>
            <w:vAlign w:val="center"/>
          </w:tcPr>
          <w:p>
            <w:pPr>
              <w:pStyle w:val="12"/>
            </w:pPr>
            <w:r>
              <w:t>医保档案资料归档数量</w:t>
            </w:r>
          </w:p>
        </w:tc>
        <w:tc>
          <w:tcPr>
            <w:tcW w:w="2268" w:type="dxa"/>
            <w:vAlign w:val="center"/>
          </w:tcPr>
          <w:p>
            <w:pPr>
              <w:pStyle w:val="12"/>
            </w:pPr>
            <w:r>
              <w:t>≥5600份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职工住院资料归档完整率</w:t>
            </w:r>
          </w:p>
        </w:tc>
        <w:tc>
          <w:tcPr>
            <w:tcW w:w="5386" w:type="dxa"/>
            <w:vAlign w:val="center"/>
          </w:tcPr>
          <w:p>
            <w:pPr>
              <w:pStyle w:val="12"/>
            </w:pPr>
            <w:r>
              <w:t>职工医保资料归档完整率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医疗档案材料归档及时率</w:t>
            </w:r>
          </w:p>
        </w:tc>
        <w:tc>
          <w:tcPr>
            <w:tcW w:w="5386" w:type="dxa"/>
            <w:vAlign w:val="center"/>
          </w:tcPr>
          <w:p>
            <w:pPr>
              <w:pStyle w:val="12"/>
            </w:pPr>
            <w:r>
              <w:t>医疗档案材料归档及时率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档案归档平均成本</w:t>
            </w:r>
          </w:p>
        </w:tc>
        <w:tc>
          <w:tcPr>
            <w:tcW w:w="5386" w:type="dxa"/>
            <w:vAlign w:val="center"/>
          </w:tcPr>
          <w:p>
            <w:pPr>
              <w:pStyle w:val="12"/>
            </w:pPr>
            <w:r>
              <w:t>档案归档平均成本</w:t>
            </w:r>
          </w:p>
        </w:tc>
        <w:tc>
          <w:tcPr>
            <w:tcW w:w="2268" w:type="dxa"/>
            <w:vAlign w:val="center"/>
          </w:tcPr>
          <w:p>
            <w:pPr>
              <w:pStyle w:val="12"/>
            </w:pPr>
            <w:r>
              <w:t>≥2元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档案管理工作较上年提升的比率</w:t>
            </w:r>
          </w:p>
        </w:tc>
        <w:tc>
          <w:tcPr>
            <w:tcW w:w="5386" w:type="dxa"/>
            <w:vAlign w:val="center"/>
          </w:tcPr>
          <w:p>
            <w:pPr>
              <w:pStyle w:val="12"/>
            </w:pPr>
            <w:r>
              <w:t>档案管理工作较上年提升的比率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参保患者查阅医疗档案满意度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2、门诊特殊疾病评审鉴定工作专项经费绩效目标表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13063425P00B3TA10003P</w:t>
            </w:r>
          </w:p>
        </w:tc>
        <w:tc>
          <w:tcPr>
            <w:tcW w:w="2835" w:type="dxa"/>
            <w:vAlign w:val="center"/>
          </w:tcPr>
          <w:p>
            <w:pPr>
              <w:pStyle w:val="10"/>
            </w:pPr>
            <w:r>
              <w:t>项目名称</w:t>
            </w:r>
          </w:p>
        </w:tc>
        <w:tc>
          <w:tcPr>
            <w:tcW w:w="6095" w:type="dxa"/>
            <w:gridSpan w:val="3"/>
            <w:vAlign w:val="center"/>
          </w:tcPr>
          <w:p>
            <w:pPr>
              <w:pStyle w:val="12"/>
            </w:pPr>
            <w:r>
              <w:t>门诊特殊疾病评审鉴定工作专项经费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预算数1.6万元，县级安排资金1.6万元，主要用于门诊特殊疾病评审鉴定工作.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4" w:type="dxa"/>
            <w:gridSpan w:val="2"/>
            <w:vAlign w:val="center"/>
          </w:tcPr>
          <w:p>
            <w:pPr>
              <w:pStyle w:val="13"/>
            </w:pPr>
            <w:r>
              <w:t>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1.目标内容1:通过慢病评审，保证申报慢病患者及时享受门诊报销待遇。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评审专家人数</w:t>
            </w:r>
          </w:p>
        </w:tc>
        <w:tc>
          <w:tcPr>
            <w:tcW w:w="5386" w:type="dxa"/>
            <w:vAlign w:val="center"/>
          </w:tcPr>
          <w:p>
            <w:pPr>
              <w:pStyle w:val="12"/>
            </w:pPr>
            <w:r>
              <w:t>慢性病评审专家人数</w:t>
            </w:r>
          </w:p>
        </w:tc>
        <w:tc>
          <w:tcPr>
            <w:tcW w:w="2268" w:type="dxa"/>
            <w:vAlign w:val="center"/>
          </w:tcPr>
          <w:p>
            <w:pPr>
              <w:pStyle w:val="12"/>
            </w:pPr>
            <w:r>
              <w:t>≥20人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慢病参会率</w:t>
            </w:r>
          </w:p>
        </w:tc>
        <w:tc>
          <w:tcPr>
            <w:tcW w:w="5386" w:type="dxa"/>
            <w:vAlign w:val="center"/>
          </w:tcPr>
          <w:p>
            <w:pPr>
              <w:pStyle w:val="12"/>
            </w:pPr>
            <w:r>
              <w:t>实际参会人数占通知参会人员的比率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门诊特殊疾病评定及时率</w:t>
            </w:r>
          </w:p>
        </w:tc>
        <w:tc>
          <w:tcPr>
            <w:tcW w:w="5386" w:type="dxa"/>
            <w:vAlign w:val="center"/>
          </w:tcPr>
          <w:p>
            <w:pPr>
              <w:pStyle w:val="12"/>
            </w:pPr>
            <w:r>
              <w:t>门诊特殊疾病评定及时率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鉴定慢病资料单份成本</w:t>
            </w:r>
          </w:p>
        </w:tc>
        <w:tc>
          <w:tcPr>
            <w:tcW w:w="5386" w:type="dxa"/>
            <w:vAlign w:val="center"/>
          </w:tcPr>
          <w:p>
            <w:pPr>
              <w:pStyle w:val="12"/>
            </w:pPr>
            <w:r>
              <w:t>鉴定一份申报资料平均所需办公费等相关费用</w:t>
            </w:r>
          </w:p>
        </w:tc>
        <w:tc>
          <w:tcPr>
            <w:tcW w:w="2268" w:type="dxa"/>
            <w:vAlign w:val="center"/>
          </w:tcPr>
          <w:p>
            <w:pPr>
              <w:pStyle w:val="12"/>
            </w:pPr>
            <w:r>
              <w:t>≤40元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及时享受门诊特殊疾病报销待遇人数</w:t>
            </w:r>
          </w:p>
        </w:tc>
        <w:tc>
          <w:tcPr>
            <w:tcW w:w="5386" w:type="dxa"/>
            <w:vAlign w:val="center"/>
          </w:tcPr>
          <w:p>
            <w:pPr>
              <w:pStyle w:val="12"/>
            </w:pPr>
            <w:r>
              <w:t>使患慢性病患者及时享受门诊特殊疾病报销待遇</w:t>
            </w:r>
          </w:p>
        </w:tc>
        <w:tc>
          <w:tcPr>
            <w:tcW w:w="2268" w:type="dxa"/>
            <w:vAlign w:val="center"/>
          </w:tcPr>
          <w:p>
            <w:pPr>
              <w:pStyle w:val="12"/>
            </w:pPr>
            <w:r>
              <w:t>≥400人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对慢性病评审工作效率满意程度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3、医保所劳务派遣人员经费绩效目标表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13063425P00PAMC10002G</w:t>
            </w:r>
          </w:p>
        </w:tc>
        <w:tc>
          <w:tcPr>
            <w:tcW w:w="2835" w:type="dxa"/>
            <w:vAlign w:val="center"/>
          </w:tcPr>
          <w:p>
            <w:pPr>
              <w:pStyle w:val="10"/>
            </w:pPr>
            <w:r>
              <w:t>项目名称</w:t>
            </w:r>
          </w:p>
        </w:tc>
        <w:tc>
          <w:tcPr>
            <w:tcW w:w="6095" w:type="dxa"/>
            <w:gridSpan w:val="3"/>
            <w:vAlign w:val="center"/>
          </w:tcPr>
          <w:p>
            <w:pPr>
              <w:pStyle w:val="12"/>
            </w:pPr>
            <w:r>
              <w:t>医保所劳务派遣人员经费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预算数5.04万元，县级安排资金5.04万元，主要用于发放1名劳务派遣人员工资、缴纳各项社会保险费用。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3.78</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1.目标内容1：及时发放1名劳务派遣人员工资、缴纳各项社会保险费用，保障人员利益，使其更好地完成所承担的工作。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劳务派遣补助人数</w:t>
            </w:r>
          </w:p>
        </w:tc>
        <w:tc>
          <w:tcPr>
            <w:tcW w:w="5386" w:type="dxa"/>
            <w:vAlign w:val="center"/>
          </w:tcPr>
          <w:p>
            <w:pPr>
              <w:pStyle w:val="12"/>
            </w:pPr>
            <w:r>
              <w:t>劳务派遣补助人数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劳务派遣人均执行标准</w:t>
            </w:r>
          </w:p>
        </w:tc>
        <w:tc>
          <w:tcPr>
            <w:tcW w:w="5386" w:type="dxa"/>
            <w:vAlign w:val="center"/>
          </w:tcPr>
          <w:p>
            <w:pPr>
              <w:pStyle w:val="12"/>
            </w:pPr>
            <w:r>
              <w:t>劳务派遣人均执行标准</w:t>
            </w:r>
          </w:p>
        </w:tc>
        <w:tc>
          <w:tcPr>
            <w:tcW w:w="2268" w:type="dxa"/>
            <w:vAlign w:val="center"/>
          </w:tcPr>
          <w:p>
            <w:pPr>
              <w:pStyle w:val="12"/>
            </w:pPr>
            <w:r>
              <w:t>≥4177.64元/月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473003曲阳县医疗保险所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4.68</w:t>
            </w:r>
          </w:p>
        </w:tc>
        <w:tc>
          <w:tcPr>
            <w:tcW w:w="964" w:type="dxa"/>
            <w:vAlign w:val="center"/>
          </w:tcPr>
          <w:p>
            <w:pPr>
              <w:pStyle w:val="15"/>
            </w:pPr>
            <w:r>
              <w:t>4.68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曲阳县医疗保险所小计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4.68</w:t>
            </w:r>
          </w:p>
        </w:tc>
        <w:tc>
          <w:tcPr>
            <w:tcW w:w="964" w:type="dxa"/>
            <w:vAlign w:val="center"/>
          </w:tcPr>
          <w:p>
            <w:pPr>
              <w:pStyle w:val="15"/>
            </w:pPr>
            <w:r>
              <w:t>4.68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2.80</w:t>
            </w:r>
          </w:p>
        </w:tc>
        <w:tc>
          <w:tcPr>
            <w:tcW w:w="1134" w:type="dxa"/>
            <w:vAlign w:val="center"/>
          </w:tcPr>
          <w:p>
            <w:pPr>
              <w:pStyle w:val="12"/>
            </w:pPr>
            <w:r>
              <w:t>其他普通期刊</w:t>
            </w:r>
          </w:p>
        </w:tc>
        <w:tc>
          <w:tcPr>
            <w:tcW w:w="1134" w:type="dxa"/>
            <w:vAlign w:val="center"/>
          </w:tcPr>
          <w:p>
            <w:pPr>
              <w:pStyle w:val="12"/>
            </w:pPr>
            <w:r>
              <w:t>A04020199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1.16</w:t>
            </w:r>
          </w:p>
        </w:tc>
        <w:tc>
          <w:tcPr>
            <w:tcW w:w="964" w:type="dxa"/>
            <w:vAlign w:val="center"/>
          </w:tcPr>
          <w:p>
            <w:pPr>
              <w:pStyle w:val="11"/>
            </w:pPr>
            <w:r>
              <w:t>1.16</w:t>
            </w:r>
          </w:p>
        </w:tc>
        <w:tc>
          <w:tcPr>
            <w:tcW w:w="964" w:type="dxa"/>
            <w:vAlign w:val="center"/>
          </w:tcPr>
          <w:p>
            <w:pPr>
              <w:pStyle w:val="11"/>
            </w:pPr>
            <w:r>
              <w:t>1.16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2.80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档案室维护经费</w:t>
            </w:r>
          </w:p>
        </w:tc>
        <w:tc>
          <w:tcPr>
            <w:tcW w:w="964" w:type="dxa"/>
            <w:vAlign w:val="center"/>
          </w:tcPr>
          <w:p>
            <w:pPr>
              <w:pStyle w:val="11"/>
            </w:pPr>
            <w:r>
              <w:t>1.12</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0.56</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档案室维护经费</w:t>
            </w:r>
          </w:p>
        </w:tc>
        <w:tc>
          <w:tcPr>
            <w:tcW w:w="964" w:type="dxa"/>
            <w:vAlign w:val="center"/>
          </w:tcPr>
          <w:p>
            <w:pPr>
              <w:pStyle w:val="11"/>
            </w:pPr>
            <w:r>
              <w:t>1.12</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0.56</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门诊特殊疾病评审鉴定工作专项经费</w:t>
            </w:r>
          </w:p>
        </w:tc>
        <w:tc>
          <w:tcPr>
            <w:tcW w:w="964" w:type="dxa"/>
            <w:vAlign w:val="center"/>
          </w:tcPr>
          <w:p>
            <w:pPr>
              <w:pStyle w:val="11"/>
            </w:pPr>
            <w:r>
              <w:t>1.60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门诊特殊疾病评审鉴定工作专项经费</w:t>
            </w:r>
          </w:p>
        </w:tc>
        <w:tc>
          <w:tcPr>
            <w:tcW w:w="964" w:type="dxa"/>
            <w:vAlign w:val="center"/>
          </w:tcPr>
          <w:p>
            <w:pPr>
              <w:pStyle w:val="11"/>
            </w:pPr>
            <w:r>
              <w:t>1.60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门诊特殊疾病评审鉴定工作专项经费</w:t>
            </w:r>
          </w:p>
        </w:tc>
        <w:tc>
          <w:tcPr>
            <w:tcW w:w="964" w:type="dxa"/>
            <w:vAlign w:val="center"/>
          </w:tcPr>
          <w:p>
            <w:pPr>
              <w:pStyle w:val="11"/>
            </w:pPr>
            <w:r>
              <w:t>1.60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曲阳县医疗保险所上年末固定资产金额为34.77万元（详见下表）。本年度拟购置固定资产总额为0.00万元，已按要求列入政府采购预算，详见政府采购预算表。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473003曲阳县医疗保险所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144</w:t>
            </w:r>
          </w:p>
        </w:tc>
        <w:tc>
          <w:tcPr>
            <w:tcW w:w="2835" w:type="dxa"/>
            <w:vAlign w:val="center"/>
          </w:tcPr>
          <w:p>
            <w:pPr>
              <w:pStyle w:val="11"/>
            </w:pPr>
            <w:r>
              <w:t>28.72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三、曲阳县城乡居民基本医疗保险服务中心收支预算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339.52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339.52</w:t>
            </w:r>
          </w:p>
        </w:tc>
        <w:tc>
          <w:tcPr>
            <w:tcW w:w="4535" w:type="dxa"/>
            <w:vAlign w:val="center"/>
          </w:tcPr>
          <w:p>
            <w:pPr>
              <w:pStyle w:val="14"/>
            </w:pPr>
            <w:r>
              <w:t>本年支出合计</w:t>
            </w:r>
          </w:p>
        </w:tc>
        <w:tc>
          <w:tcPr>
            <w:tcW w:w="2126" w:type="dxa"/>
            <w:vAlign w:val="center"/>
          </w:tcPr>
          <w:p>
            <w:pPr>
              <w:pStyle w:val="15"/>
            </w:pPr>
            <w:r>
              <w:t>339.52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339.52</w:t>
            </w:r>
          </w:p>
        </w:tc>
        <w:tc>
          <w:tcPr>
            <w:tcW w:w="4535" w:type="dxa"/>
            <w:vAlign w:val="center"/>
          </w:tcPr>
          <w:p>
            <w:pPr>
              <w:pStyle w:val="14"/>
            </w:pPr>
            <w:r>
              <w:t>支出总计</w:t>
            </w:r>
          </w:p>
        </w:tc>
        <w:tc>
          <w:tcPr>
            <w:tcW w:w="2126" w:type="dxa"/>
            <w:vAlign w:val="center"/>
          </w:tcPr>
          <w:p>
            <w:pPr>
              <w:pStyle w:val="15"/>
            </w:pPr>
            <w:r>
              <w:t>339.52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339.52</w:t>
            </w:r>
          </w:p>
        </w:tc>
        <w:tc>
          <w:tcPr>
            <w:tcW w:w="1134" w:type="dxa"/>
            <w:vAlign w:val="center"/>
          </w:tcPr>
          <w:p>
            <w:pPr>
              <w:pStyle w:val="15"/>
            </w:pPr>
            <w:r>
              <w:t>339.52</w:t>
            </w:r>
          </w:p>
        </w:tc>
        <w:tc>
          <w:tcPr>
            <w:tcW w:w="1134" w:type="dxa"/>
            <w:vAlign w:val="center"/>
          </w:tcPr>
          <w:p>
            <w:pPr>
              <w:pStyle w:val="15"/>
            </w:pPr>
            <w:r>
              <w:t>339.52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31.41</w:t>
            </w:r>
          </w:p>
        </w:tc>
        <w:tc>
          <w:tcPr>
            <w:tcW w:w="1134" w:type="dxa"/>
            <w:vAlign w:val="center"/>
          </w:tcPr>
          <w:p>
            <w:pPr>
              <w:pStyle w:val="11"/>
            </w:pPr>
            <w:r>
              <w:t>31.41</w:t>
            </w:r>
          </w:p>
        </w:tc>
        <w:tc>
          <w:tcPr>
            <w:tcW w:w="1134" w:type="dxa"/>
            <w:vAlign w:val="center"/>
          </w:tcPr>
          <w:p>
            <w:pPr>
              <w:pStyle w:val="11"/>
            </w:pPr>
            <w:r>
              <w:t>31.41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29.54</w:t>
            </w:r>
          </w:p>
        </w:tc>
        <w:tc>
          <w:tcPr>
            <w:tcW w:w="1134" w:type="dxa"/>
            <w:vAlign w:val="center"/>
          </w:tcPr>
          <w:p>
            <w:pPr>
              <w:pStyle w:val="11"/>
            </w:pPr>
            <w:r>
              <w:t>29.54</w:t>
            </w:r>
          </w:p>
        </w:tc>
        <w:tc>
          <w:tcPr>
            <w:tcW w:w="1134" w:type="dxa"/>
            <w:vAlign w:val="center"/>
          </w:tcPr>
          <w:p>
            <w:pPr>
              <w:pStyle w:val="11"/>
            </w:pPr>
            <w:r>
              <w:t>29.54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17.93</w:t>
            </w:r>
          </w:p>
        </w:tc>
        <w:tc>
          <w:tcPr>
            <w:tcW w:w="1134" w:type="dxa"/>
            <w:vAlign w:val="center"/>
          </w:tcPr>
          <w:p>
            <w:pPr>
              <w:pStyle w:val="11"/>
            </w:pPr>
            <w:r>
              <w:t>17.93</w:t>
            </w:r>
          </w:p>
        </w:tc>
        <w:tc>
          <w:tcPr>
            <w:tcW w:w="1134" w:type="dxa"/>
            <w:vAlign w:val="center"/>
          </w:tcPr>
          <w:p>
            <w:pPr>
              <w:pStyle w:val="11"/>
            </w:pPr>
            <w:r>
              <w:t>17.93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6.74</w:t>
            </w:r>
          </w:p>
        </w:tc>
        <w:tc>
          <w:tcPr>
            <w:tcW w:w="1134" w:type="dxa"/>
            <w:vAlign w:val="center"/>
          </w:tcPr>
          <w:p>
            <w:pPr>
              <w:pStyle w:val="11"/>
            </w:pPr>
            <w:r>
              <w:t>6.74</w:t>
            </w:r>
          </w:p>
        </w:tc>
        <w:tc>
          <w:tcPr>
            <w:tcW w:w="1134" w:type="dxa"/>
            <w:vAlign w:val="center"/>
          </w:tcPr>
          <w:p>
            <w:pPr>
              <w:pStyle w:val="11"/>
            </w:pPr>
            <w:r>
              <w:t>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294.70</w:t>
            </w:r>
          </w:p>
        </w:tc>
        <w:tc>
          <w:tcPr>
            <w:tcW w:w="1134" w:type="dxa"/>
            <w:vAlign w:val="center"/>
          </w:tcPr>
          <w:p>
            <w:pPr>
              <w:pStyle w:val="11"/>
            </w:pPr>
            <w:r>
              <w:t>294.70</w:t>
            </w:r>
          </w:p>
        </w:tc>
        <w:tc>
          <w:tcPr>
            <w:tcW w:w="1134" w:type="dxa"/>
            <w:vAlign w:val="center"/>
          </w:tcPr>
          <w:p>
            <w:pPr>
              <w:pStyle w:val="11"/>
            </w:pPr>
            <w:r>
              <w:t>294.70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11.93</w:t>
            </w:r>
          </w:p>
        </w:tc>
        <w:tc>
          <w:tcPr>
            <w:tcW w:w="1134" w:type="dxa"/>
            <w:vAlign w:val="center"/>
          </w:tcPr>
          <w:p>
            <w:pPr>
              <w:pStyle w:val="11"/>
            </w:pPr>
            <w:r>
              <w:t>11.93</w:t>
            </w:r>
          </w:p>
        </w:tc>
        <w:tc>
          <w:tcPr>
            <w:tcW w:w="1134" w:type="dxa"/>
            <w:vAlign w:val="center"/>
          </w:tcPr>
          <w:p>
            <w:pPr>
              <w:pStyle w:val="11"/>
            </w:pPr>
            <w:r>
              <w:t>11.93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3.08</w:t>
            </w:r>
          </w:p>
        </w:tc>
        <w:tc>
          <w:tcPr>
            <w:tcW w:w="1134" w:type="dxa"/>
            <w:vAlign w:val="center"/>
          </w:tcPr>
          <w:p>
            <w:pPr>
              <w:pStyle w:val="11"/>
            </w:pPr>
            <w:r>
              <w:t>3.08</w:t>
            </w:r>
          </w:p>
        </w:tc>
        <w:tc>
          <w:tcPr>
            <w:tcW w:w="1134" w:type="dxa"/>
            <w:vAlign w:val="center"/>
          </w:tcPr>
          <w:p>
            <w:pPr>
              <w:pStyle w:val="11"/>
            </w:pPr>
            <w:r>
              <w:t>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282.77</w:t>
            </w:r>
          </w:p>
        </w:tc>
        <w:tc>
          <w:tcPr>
            <w:tcW w:w="1134" w:type="dxa"/>
            <w:vAlign w:val="center"/>
          </w:tcPr>
          <w:p>
            <w:pPr>
              <w:pStyle w:val="11"/>
            </w:pPr>
            <w:r>
              <w:t>282.77</w:t>
            </w:r>
          </w:p>
        </w:tc>
        <w:tc>
          <w:tcPr>
            <w:tcW w:w="1134" w:type="dxa"/>
            <w:vAlign w:val="center"/>
          </w:tcPr>
          <w:p>
            <w:pPr>
              <w:pStyle w:val="11"/>
            </w:pPr>
            <w:r>
              <w:t>282.77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146.16</w:t>
            </w:r>
          </w:p>
        </w:tc>
        <w:tc>
          <w:tcPr>
            <w:tcW w:w="1134" w:type="dxa"/>
            <w:vAlign w:val="center"/>
          </w:tcPr>
          <w:p>
            <w:pPr>
              <w:pStyle w:val="11"/>
            </w:pPr>
            <w:r>
              <w:t>146.16</w:t>
            </w:r>
          </w:p>
        </w:tc>
        <w:tc>
          <w:tcPr>
            <w:tcW w:w="1134" w:type="dxa"/>
            <w:vAlign w:val="center"/>
          </w:tcPr>
          <w:p>
            <w:pPr>
              <w:pStyle w:val="11"/>
            </w:pPr>
            <w:r>
              <w:t>146.16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136.61</w:t>
            </w:r>
          </w:p>
        </w:tc>
        <w:tc>
          <w:tcPr>
            <w:tcW w:w="1134" w:type="dxa"/>
            <w:vAlign w:val="center"/>
          </w:tcPr>
          <w:p>
            <w:pPr>
              <w:pStyle w:val="11"/>
            </w:pPr>
            <w:r>
              <w:t>136.61</w:t>
            </w:r>
          </w:p>
        </w:tc>
        <w:tc>
          <w:tcPr>
            <w:tcW w:w="1134" w:type="dxa"/>
            <w:vAlign w:val="center"/>
          </w:tcPr>
          <w:p>
            <w:pPr>
              <w:pStyle w:val="11"/>
            </w:pPr>
            <w:r>
              <w:t>136.61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339.52</w:t>
            </w:r>
          </w:p>
        </w:tc>
        <w:tc>
          <w:tcPr>
            <w:tcW w:w="1361" w:type="dxa"/>
            <w:vAlign w:val="center"/>
          </w:tcPr>
          <w:p>
            <w:pPr>
              <w:pStyle w:val="15"/>
            </w:pPr>
            <w:r>
              <w:t>191.49</w:t>
            </w:r>
          </w:p>
        </w:tc>
        <w:tc>
          <w:tcPr>
            <w:tcW w:w="1361" w:type="dxa"/>
            <w:vAlign w:val="center"/>
          </w:tcPr>
          <w:p>
            <w:pPr>
              <w:pStyle w:val="15"/>
            </w:pPr>
            <w:r>
              <w:t>148.03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31.41</w:t>
            </w:r>
          </w:p>
        </w:tc>
        <w:tc>
          <w:tcPr>
            <w:tcW w:w="1361" w:type="dxa"/>
            <w:vAlign w:val="center"/>
          </w:tcPr>
          <w:p>
            <w:pPr>
              <w:pStyle w:val="11"/>
            </w:pPr>
            <w:r>
              <w:t>29.54</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29.54</w:t>
            </w:r>
          </w:p>
        </w:tc>
        <w:tc>
          <w:tcPr>
            <w:tcW w:w="1361" w:type="dxa"/>
            <w:vAlign w:val="center"/>
          </w:tcPr>
          <w:p>
            <w:pPr>
              <w:pStyle w:val="11"/>
            </w:pPr>
            <w:r>
              <w:t>29.54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4.87</w:t>
            </w: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17.93</w:t>
            </w:r>
          </w:p>
        </w:tc>
        <w:tc>
          <w:tcPr>
            <w:tcW w:w="1361" w:type="dxa"/>
            <w:vAlign w:val="center"/>
          </w:tcPr>
          <w:p>
            <w:pPr>
              <w:pStyle w:val="11"/>
            </w:pPr>
            <w:r>
              <w:t>17.93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6.74</w:t>
            </w:r>
          </w:p>
        </w:tc>
        <w:tc>
          <w:tcPr>
            <w:tcW w:w="1361" w:type="dxa"/>
            <w:vAlign w:val="center"/>
          </w:tcPr>
          <w:p>
            <w:pPr>
              <w:pStyle w:val="11"/>
            </w:pPr>
            <w:r>
              <w:t>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294.70</w:t>
            </w:r>
          </w:p>
        </w:tc>
        <w:tc>
          <w:tcPr>
            <w:tcW w:w="1361" w:type="dxa"/>
            <w:vAlign w:val="center"/>
          </w:tcPr>
          <w:p>
            <w:pPr>
              <w:pStyle w:val="11"/>
            </w:pPr>
            <w:r>
              <w:t>148.54</w:t>
            </w:r>
          </w:p>
        </w:tc>
        <w:tc>
          <w:tcPr>
            <w:tcW w:w="1361" w:type="dxa"/>
            <w:vAlign w:val="center"/>
          </w:tcPr>
          <w:p>
            <w:pPr>
              <w:pStyle w:val="11"/>
            </w:pPr>
            <w:r>
              <w:t>146.16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11.93</w:t>
            </w:r>
          </w:p>
        </w:tc>
        <w:tc>
          <w:tcPr>
            <w:tcW w:w="1361" w:type="dxa"/>
            <w:vAlign w:val="center"/>
          </w:tcPr>
          <w:p>
            <w:pPr>
              <w:pStyle w:val="11"/>
            </w:pPr>
            <w:r>
              <w:t>11.93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8.85</w:t>
            </w:r>
          </w:p>
        </w:tc>
        <w:tc>
          <w:tcPr>
            <w:tcW w:w="1361" w:type="dxa"/>
            <w:vAlign w:val="center"/>
          </w:tcPr>
          <w:p>
            <w:pPr>
              <w:pStyle w:val="11"/>
            </w:pPr>
            <w:r>
              <w:t>8.85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3.08</w:t>
            </w:r>
          </w:p>
        </w:tc>
        <w:tc>
          <w:tcPr>
            <w:tcW w:w="1361" w:type="dxa"/>
            <w:vAlign w:val="center"/>
          </w:tcPr>
          <w:p>
            <w:pPr>
              <w:pStyle w:val="11"/>
            </w:pPr>
            <w:r>
              <w:t>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282.77</w:t>
            </w:r>
          </w:p>
        </w:tc>
        <w:tc>
          <w:tcPr>
            <w:tcW w:w="1361" w:type="dxa"/>
            <w:vAlign w:val="center"/>
          </w:tcPr>
          <w:p>
            <w:pPr>
              <w:pStyle w:val="11"/>
            </w:pPr>
            <w:r>
              <w:t>136.61</w:t>
            </w:r>
          </w:p>
        </w:tc>
        <w:tc>
          <w:tcPr>
            <w:tcW w:w="1361" w:type="dxa"/>
            <w:vAlign w:val="center"/>
          </w:tcPr>
          <w:p>
            <w:pPr>
              <w:pStyle w:val="11"/>
            </w:pPr>
            <w:r>
              <w:t>146.16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2101506</w:t>
            </w:r>
          </w:p>
        </w:tc>
        <w:tc>
          <w:tcPr>
            <w:tcW w:w="4535" w:type="dxa"/>
            <w:vAlign w:val="center"/>
          </w:tcPr>
          <w:p>
            <w:pPr>
              <w:pStyle w:val="12"/>
            </w:pPr>
            <w:r>
              <w:t>医疗保障经办事务</w:t>
            </w:r>
          </w:p>
        </w:tc>
        <w:tc>
          <w:tcPr>
            <w:tcW w:w="1361" w:type="dxa"/>
            <w:vAlign w:val="center"/>
          </w:tcPr>
          <w:p>
            <w:pPr>
              <w:pStyle w:val="11"/>
            </w:pPr>
            <w:r>
              <w:t>146.16</w:t>
            </w:r>
          </w:p>
        </w:tc>
        <w:tc>
          <w:tcPr>
            <w:tcW w:w="1361" w:type="dxa"/>
            <w:vAlign w:val="center"/>
          </w:tcPr>
          <w:p>
            <w:pPr>
              <w:pStyle w:val="11"/>
            </w:pPr>
          </w:p>
        </w:tc>
        <w:tc>
          <w:tcPr>
            <w:tcW w:w="1361" w:type="dxa"/>
            <w:vAlign w:val="center"/>
          </w:tcPr>
          <w:p>
            <w:pPr>
              <w:pStyle w:val="11"/>
            </w:pPr>
            <w:r>
              <w:t>146.16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2101550</w:t>
            </w:r>
          </w:p>
        </w:tc>
        <w:tc>
          <w:tcPr>
            <w:tcW w:w="4535" w:type="dxa"/>
            <w:vAlign w:val="center"/>
          </w:tcPr>
          <w:p>
            <w:pPr>
              <w:pStyle w:val="12"/>
            </w:pPr>
            <w:r>
              <w:t>事业运行</w:t>
            </w:r>
          </w:p>
        </w:tc>
        <w:tc>
          <w:tcPr>
            <w:tcW w:w="1361" w:type="dxa"/>
            <w:vAlign w:val="center"/>
          </w:tcPr>
          <w:p>
            <w:pPr>
              <w:pStyle w:val="11"/>
            </w:pPr>
            <w:r>
              <w:t>136.61</w:t>
            </w:r>
          </w:p>
        </w:tc>
        <w:tc>
          <w:tcPr>
            <w:tcW w:w="1361" w:type="dxa"/>
            <w:vAlign w:val="center"/>
          </w:tcPr>
          <w:p>
            <w:pPr>
              <w:pStyle w:val="11"/>
            </w:pPr>
            <w:r>
              <w:t>136.61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13.41</w:t>
            </w:r>
          </w:p>
        </w:tc>
        <w:tc>
          <w:tcPr>
            <w:tcW w:w="1361" w:type="dxa"/>
            <w:vAlign w:val="center"/>
          </w:tcPr>
          <w:p>
            <w:pPr>
              <w:pStyle w:val="11"/>
            </w:pPr>
            <w:r>
              <w:t>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13.41</w:t>
            </w:r>
          </w:p>
        </w:tc>
        <w:tc>
          <w:tcPr>
            <w:tcW w:w="1361" w:type="dxa"/>
            <w:vAlign w:val="center"/>
          </w:tcPr>
          <w:p>
            <w:pPr>
              <w:pStyle w:val="11"/>
            </w:pPr>
            <w:r>
              <w:t>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13.41</w:t>
            </w:r>
          </w:p>
        </w:tc>
        <w:tc>
          <w:tcPr>
            <w:tcW w:w="1361" w:type="dxa"/>
            <w:vAlign w:val="center"/>
          </w:tcPr>
          <w:p>
            <w:pPr>
              <w:pStyle w:val="11"/>
            </w:pPr>
            <w:r>
              <w:t>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339.52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31.41</w:t>
            </w:r>
          </w:p>
        </w:tc>
        <w:tc>
          <w:tcPr>
            <w:tcW w:w="1474" w:type="dxa"/>
            <w:vAlign w:val="center"/>
          </w:tcPr>
          <w:p>
            <w:pPr>
              <w:pStyle w:val="11"/>
            </w:pPr>
            <w:r>
              <w:t>31.41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294.70</w:t>
            </w:r>
          </w:p>
        </w:tc>
        <w:tc>
          <w:tcPr>
            <w:tcW w:w="1474" w:type="dxa"/>
            <w:vAlign w:val="center"/>
          </w:tcPr>
          <w:p>
            <w:pPr>
              <w:pStyle w:val="11"/>
            </w:pPr>
            <w:r>
              <w:t>294.70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13.41</w:t>
            </w:r>
          </w:p>
        </w:tc>
        <w:tc>
          <w:tcPr>
            <w:tcW w:w="1474" w:type="dxa"/>
            <w:vAlign w:val="center"/>
          </w:tcPr>
          <w:p>
            <w:pPr>
              <w:pStyle w:val="11"/>
            </w:pPr>
            <w:r>
              <w:t>13.41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339.52</w:t>
            </w:r>
          </w:p>
        </w:tc>
        <w:tc>
          <w:tcPr>
            <w:tcW w:w="3402" w:type="dxa"/>
            <w:vAlign w:val="center"/>
          </w:tcPr>
          <w:p>
            <w:pPr>
              <w:pStyle w:val="14"/>
            </w:pPr>
            <w:r>
              <w:t>本年支出合计</w:t>
            </w:r>
          </w:p>
        </w:tc>
        <w:tc>
          <w:tcPr>
            <w:tcW w:w="1474" w:type="dxa"/>
            <w:vAlign w:val="center"/>
          </w:tcPr>
          <w:p>
            <w:pPr>
              <w:pStyle w:val="15"/>
            </w:pPr>
            <w:r>
              <w:t>339.52</w:t>
            </w:r>
          </w:p>
        </w:tc>
        <w:tc>
          <w:tcPr>
            <w:tcW w:w="1474" w:type="dxa"/>
            <w:vAlign w:val="center"/>
          </w:tcPr>
          <w:p>
            <w:pPr>
              <w:pStyle w:val="15"/>
            </w:pPr>
            <w:r>
              <w:t>339.52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339.52</w:t>
            </w:r>
          </w:p>
        </w:tc>
        <w:tc>
          <w:tcPr>
            <w:tcW w:w="3402" w:type="dxa"/>
            <w:vAlign w:val="center"/>
          </w:tcPr>
          <w:p>
            <w:pPr>
              <w:pStyle w:val="14"/>
            </w:pPr>
            <w:r>
              <w:t>支出总计</w:t>
            </w:r>
          </w:p>
        </w:tc>
        <w:tc>
          <w:tcPr>
            <w:tcW w:w="1474" w:type="dxa"/>
            <w:vAlign w:val="center"/>
          </w:tcPr>
          <w:p>
            <w:pPr>
              <w:pStyle w:val="15"/>
            </w:pPr>
            <w:r>
              <w:t>339.52</w:t>
            </w:r>
          </w:p>
        </w:tc>
        <w:tc>
          <w:tcPr>
            <w:tcW w:w="1474" w:type="dxa"/>
            <w:vAlign w:val="center"/>
          </w:tcPr>
          <w:p>
            <w:pPr>
              <w:pStyle w:val="15"/>
            </w:pPr>
            <w:r>
              <w:t>339.52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339.52</w:t>
            </w:r>
          </w:p>
        </w:tc>
        <w:tc>
          <w:tcPr>
            <w:tcW w:w="2551" w:type="dxa"/>
            <w:vAlign w:val="center"/>
          </w:tcPr>
          <w:p>
            <w:pPr>
              <w:pStyle w:val="15"/>
            </w:pPr>
            <w:r>
              <w:t>191.49</w:t>
            </w:r>
          </w:p>
        </w:tc>
        <w:tc>
          <w:tcPr>
            <w:tcW w:w="2551" w:type="dxa"/>
            <w:vAlign w:val="center"/>
          </w:tcPr>
          <w:p>
            <w:pPr>
              <w:pStyle w:val="15"/>
            </w:pPr>
            <w:r>
              <w:t>148.03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31.41</w:t>
            </w:r>
          </w:p>
        </w:tc>
        <w:tc>
          <w:tcPr>
            <w:tcW w:w="2551" w:type="dxa"/>
            <w:vAlign w:val="center"/>
          </w:tcPr>
          <w:p>
            <w:pPr>
              <w:pStyle w:val="11"/>
            </w:pPr>
            <w:r>
              <w:t>29.54</w:t>
            </w:r>
          </w:p>
        </w:tc>
        <w:tc>
          <w:tcPr>
            <w:tcW w:w="2551"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29.54</w:t>
            </w:r>
          </w:p>
        </w:tc>
        <w:tc>
          <w:tcPr>
            <w:tcW w:w="2551" w:type="dxa"/>
            <w:vAlign w:val="center"/>
          </w:tcPr>
          <w:p>
            <w:pPr>
              <w:pStyle w:val="11"/>
            </w:pPr>
            <w:r>
              <w:t>29.54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17.93</w:t>
            </w:r>
          </w:p>
        </w:tc>
        <w:tc>
          <w:tcPr>
            <w:tcW w:w="2551" w:type="dxa"/>
            <w:vAlign w:val="center"/>
          </w:tcPr>
          <w:p>
            <w:pPr>
              <w:pStyle w:val="11"/>
            </w:pPr>
            <w:r>
              <w:t>17.93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1.87</w:t>
            </w:r>
          </w:p>
        </w:tc>
        <w:tc>
          <w:tcPr>
            <w:tcW w:w="2551" w:type="dxa"/>
            <w:vAlign w:val="center"/>
          </w:tcPr>
          <w:p>
            <w:pPr>
              <w:pStyle w:val="11"/>
            </w:pPr>
          </w:p>
        </w:tc>
        <w:tc>
          <w:tcPr>
            <w:tcW w:w="2551"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1.87</w:t>
            </w:r>
          </w:p>
        </w:tc>
        <w:tc>
          <w:tcPr>
            <w:tcW w:w="2551" w:type="dxa"/>
            <w:vAlign w:val="center"/>
          </w:tcPr>
          <w:p>
            <w:pPr>
              <w:pStyle w:val="11"/>
            </w:pPr>
          </w:p>
        </w:tc>
        <w:tc>
          <w:tcPr>
            <w:tcW w:w="2551"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294.70</w:t>
            </w:r>
          </w:p>
        </w:tc>
        <w:tc>
          <w:tcPr>
            <w:tcW w:w="2551" w:type="dxa"/>
            <w:vAlign w:val="center"/>
          </w:tcPr>
          <w:p>
            <w:pPr>
              <w:pStyle w:val="11"/>
            </w:pPr>
            <w:r>
              <w:t>148.54</w:t>
            </w:r>
          </w:p>
        </w:tc>
        <w:tc>
          <w:tcPr>
            <w:tcW w:w="2551" w:type="dxa"/>
            <w:vAlign w:val="center"/>
          </w:tcPr>
          <w:p>
            <w:pPr>
              <w:pStyle w:val="11"/>
            </w:pPr>
            <w:r>
              <w:t>146.16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11.93</w:t>
            </w:r>
          </w:p>
        </w:tc>
        <w:tc>
          <w:tcPr>
            <w:tcW w:w="2551" w:type="dxa"/>
            <w:vAlign w:val="center"/>
          </w:tcPr>
          <w:p>
            <w:pPr>
              <w:pStyle w:val="11"/>
            </w:pPr>
            <w:r>
              <w:t>11.93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3.08</w:t>
            </w:r>
          </w:p>
        </w:tc>
        <w:tc>
          <w:tcPr>
            <w:tcW w:w="2551" w:type="dxa"/>
            <w:vAlign w:val="center"/>
          </w:tcPr>
          <w:p>
            <w:pPr>
              <w:pStyle w:val="11"/>
            </w:pPr>
            <w:r>
              <w:t>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282.77</w:t>
            </w:r>
          </w:p>
        </w:tc>
        <w:tc>
          <w:tcPr>
            <w:tcW w:w="2551" w:type="dxa"/>
            <w:vAlign w:val="center"/>
          </w:tcPr>
          <w:p>
            <w:pPr>
              <w:pStyle w:val="11"/>
            </w:pPr>
            <w:r>
              <w:t>136.61</w:t>
            </w:r>
          </w:p>
        </w:tc>
        <w:tc>
          <w:tcPr>
            <w:tcW w:w="2551" w:type="dxa"/>
            <w:vAlign w:val="center"/>
          </w:tcPr>
          <w:p>
            <w:pPr>
              <w:pStyle w:val="11"/>
            </w:pPr>
            <w:r>
              <w:t>146.16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146.16</w:t>
            </w:r>
          </w:p>
        </w:tc>
        <w:tc>
          <w:tcPr>
            <w:tcW w:w="2551" w:type="dxa"/>
            <w:vAlign w:val="center"/>
          </w:tcPr>
          <w:p>
            <w:pPr>
              <w:pStyle w:val="11"/>
            </w:pPr>
          </w:p>
        </w:tc>
        <w:tc>
          <w:tcPr>
            <w:tcW w:w="2551" w:type="dxa"/>
            <w:vAlign w:val="center"/>
          </w:tcPr>
          <w:p>
            <w:pPr>
              <w:pStyle w:val="11"/>
            </w:pPr>
            <w:r>
              <w:t>146.16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136.61</w:t>
            </w:r>
          </w:p>
        </w:tc>
        <w:tc>
          <w:tcPr>
            <w:tcW w:w="2551" w:type="dxa"/>
            <w:vAlign w:val="center"/>
          </w:tcPr>
          <w:p>
            <w:pPr>
              <w:pStyle w:val="11"/>
            </w:pPr>
            <w:r>
              <w:t>136.61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191.49</w:t>
            </w:r>
          </w:p>
        </w:tc>
        <w:tc>
          <w:tcPr>
            <w:tcW w:w="2551" w:type="dxa"/>
            <w:vAlign w:val="center"/>
          </w:tcPr>
          <w:p>
            <w:pPr>
              <w:pStyle w:val="15"/>
            </w:pPr>
            <w:r>
              <w:t>186.86</w:t>
            </w:r>
          </w:p>
        </w:tc>
        <w:tc>
          <w:tcPr>
            <w:tcW w:w="2551" w:type="dxa"/>
            <w:vAlign w:val="center"/>
          </w:tcPr>
          <w:p>
            <w:pPr>
              <w:pStyle w:val="15"/>
            </w:pPr>
            <w:r>
              <w:t>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181.99</w:t>
            </w:r>
          </w:p>
        </w:tc>
        <w:tc>
          <w:tcPr>
            <w:tcW w:w="2551" w:type="dxa"/>
            <w:vAlign w:val="center"/>
          </w:tcPr>
          <w:p>
            <w:pPr>
              <w:pStyle w:val="11"/>
            </w:pPr>
            <w:r>
              <w:t>181.99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71.76</w:t>
            </w:r>
          </w:p>
        </w:tc>
        <w:tc>
          <w:tcPr>
            <w:tcW w:w="2551" w:type="dxa"/>
            <w:vAlign w:val="center"/>
          </w:tcPr>
          <w:p>
            <w:pPr>
              <w:pStyle w:val="11"/>
            </w:pPr>
            <w:r>
              <w:t>71.76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12.86</w:t>
            </w:r>
          </w:p>
        </w:tc>
        <w:tc>
          <w:tcPr>
            <w:tcW w:w="2551" w:type="dxa"/>
            <w:vAlign w:val="center"/>
          </w:tcPr>
          <w:p>
            <w:pPr>
              <w:pStyle w:val="11"/>
            </w:pPr>
            <w:r>
              <w:t>12.86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45.94</w:t>
            </w:r>
          </w:p>
        </w:tc>
        <w:tc>
          <w:tcPr>
            <w:tcW w:w="2551" w:type="dxa"/>
            <w:vAlign w:val="center"/>
          </w:tcPr>
          <w:p>
            <w:pPr>
              <w:pStyle w:val="11"/>
            </w:pPr>
            <w:r>
              <w:t>45.94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17.93</w:t>
            </w:r>
          </w:p>
        </w:tc>
        <w:tc>
          <w:tcPr>
            <w:tcW w:w="2551" w:type="dxa"/>
            <w:vAlign w:val="center"/>
          </w:tcPr>
          <w:p>
            <w:pPr>
              <w:pStyle w:val="11"/>
            </w:pPr>
            <w:r>
              <w:t>17.93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3.08</w:t>
            </w:r>
          </w:p>
        </w:tc>
        <w:tc>
          <w:tcPr>
            <w:tcW w:w="2551" w:type="dxa"/>
            <w:vAlign w:val="center"/>
          </w:tcPr>
          <w:p>
            <w:pPr>
              <w:pStyle w:val="11"/>
            </w:pPr>
            <w:r>
              <w:t>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1.42</w:t>
            </w:r>
          </w:p>
        </w:tc>
        <w:tc>
          <w:tcPr>
            <w:tcW w:w="2551" w:type="dxa"/>
            <w:vAlign w:val="center"/>
          </w:tcPr>
          <w:p>
            <w:pPr>
              <w:pStyle w:val="11"/>
            </w:pPr>
            <w:r>
              <w:t>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4.63</w:t>
            </w:r>
          </w:p>
        </w:tc>
        <w:tc>
          <w:tcPr>
            <w:tcW w:w="2551" w:type="dxa"/>
            <w:vAlign w:val="center"/>
          </w:tcPr>
          <w:p>
            <w:pPr>
              <w:pStyle w:val="11"/>
            </w:pPr>
          </w:p>
        </w:tc>
        <w:tc>
          <w:tcPr>
            <w:tcW w:w="2551" w:type="dxa"/>
            <w:vAlign w:val="center"/>
          </w:tcPr>
          <w:p>
            <w:pPr>
              <w:pStyle w:val="11"/>
            </w:pPr>
            <w:r>
              <w:t>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曲阳县城乡居民基本医疗保险服务中心2025年单位预算信息公开情况说明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按照《中华人民共和国预算法》、《地方预决算公开操作规程》和《关于进一步推进预算公开工作的实施意见》规定，现将曲阳县城乡居民基本医疗保险服务中心2025年单位预算公开如下：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1.贯彻执行城乡居民医疗保险、医疗救助、补充医疗保险等医疗保障政策法规、政府规章草案，拟定全县相关配套政策、制度、规划和标准。</w:t>
      </w:r>
    </w:p>
    <w:p>
      <w:pPr>
        <w:pStyle w:val="17"/>
      </w:pPr>
      <w:r>
        <w:t>2.执行医疗保险基金监督管理政策，完善县医疗保障基金监督管理办法，建立健全全县医疗保障基金安全防控机制，组织建设网络信息和智能监控平台，推进医疗保障基金支付方式改革，并组织实施。</w:t>
      </w:r>
    </w:p>
    <w:p>
      <w:pPr>
        <w:pStyle w:val="17"/>
      </w:pPr>
      <w:r>
        <w:t>3.组织制定全城乡居民参保筹资和保障待遇政策，统筹城乡医疗保障政策标准，建立健全与筹资水平相适应的待遇调整机制。</w:t>
      </w:r>
    </w:p>
    <w:p>
      <w:pPr>
        <w:pStyle w:val="17"/>
      </w:pPr>
      <w:r>
        <w:t>4.执行城乡统一的药品、医用耗材、医疗服务项目、医疗服务设施等医保支付标准，建立动态调整机制并组织实施。</w:t>
      </w:r>
    </w:p>
    <w:p>
      <w:pPr>
        <w:pStyle w:val="17"/>
      </w:pPr>
      <w:r>
        <w:t>5.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pStyle w:val="17"/>
      </w:pPr>
      <w:r>
        <w:t>6.监督实施药品、医用耗材的招标采购政策，指导药品、医用耗材招标采购平台建设。</w:t>
      </w:r>
    </w:p>
    <w:p>
      <w:pPr>
        <w:pStyle w:val="17"/>
      </w:pPr>
      <w:r>
        <w:t>7.制定全县定点医疗机构协议和支付管理办法并组织实施。建立健全医疗保障信用评价体系和信息披露制度，监督管理定点医药机构的医疗服务行为、医疗费用和医药价格。</w:t>
      </w:r>
    </w:p>
    <w:p>
      <w:pPr>
        <w:pStyle w:val="17"/>
      </w:pPr>
      <w:r>
        <w:t>8.负责医疗保障经办管理、公共服务体系和信息化建设。落实异地就医管理和费用结算政策，建立健全医疗保障关系转移接续制度。</w:t>
      </w:r>
    </w:p>
    <w:p>
      <w:pPr>
        <w:pStyle w:val="17"/>
      </w:pPr>
      <w:r>
        <w:t>9.完成局机关交办的其他任务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曲阳县城乡居民基本医疗保险服务中心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339.52万元，其中：一般公共预算收入339.52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城乡居民基本医疗保险服务中心年度单位预算中支出预算的总体情况。2025年支出预算339.52万元，其中基本支出191.49万元，包括人员经费186.86万元和日常公用经费4.63万元；项目支出148.03万元，主要为曲阳县城乡居民医疗服务专项公用经费5.6万元、城乡居民医保村代办员补助资金（结转）1.87万元、曲阳县城乡居民劳务派遣人员工资经费140.56万元。</w:t>
      </w:r>
    </w:p>
    <w:p>
      <w:pPr>
        <w:pStyle w:val="18"/>
      </w:pPr>
      <w:r>
        <w:t>3、比上年增减情况</w:t>
      </w:r>
    </w:p>
    <w:p>
      <w:pPr>
        <w:pStyle w:val="18"/>
      </w:pPr>
      <w:r>
        <w:t>2025年预算收支安排339.52万元，较2024年预算减少42.65万元，其中：基本支出减少4.42万元，主要为基本支出减少主要为2025年预算中取暖费测算标准发生变化导致基本支出减少4.42万元。项目支出减少38.23万元，主要为项目支出减少主要为2025年无意外伤害界定服务经费项目21.6万元、劳务派遣人员工资测算数比2024年预算少1个月工资11.66万元，专项公用经费压减1.4万元，代办员项目无上级下达资金导致项目减少38.23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年，我单位运行经费共计安排</w:t>
      </w:r>
      <w:r>
        <w:rPr>
          <w:rFonts w:hint="eastAsia"/>
          <w:lang w:val="en-US" w:eastAsia="zh-CN"/>
        </w:rPr>
        <w:t>4.63</w:t>
      </w:r>
      <w:r>
        <w:t>万元，主要用于日常维修、办公用房水电费、办公用房取暖费、办公用房物业管理费等日常运行支出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0.80万元，其中因公出国（境）费0.00万元；公务用车购置及运维费0.80万元（其中：公务用车购置费为0.00万元，公务用车运维费0.80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1、城乡居民医保代办员补助资金（结转）绩效目标表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13063425P00429010003A</w:t>
            </w:r>
          </w:p>
        </w:tc>
        <w:tc>
          <w:tcPr>
            <w:tcW w:w="2835" w:type="dxa"/>
            <w:vAlign w:val="center"/>
          </w:tcPr>
          <w:p>
            <w:pPr>
              <w:pStyle w:val="10"/>
            </w:pPr>
            <w:r>
              <w:t>项目名称</w:t>
            </w:r>
          </w:p>
        </w:tc>
        <w:tc>
          <w:tcPr>
            <w:tcW w:w="6095" w:type="dxa"/>
            <w:gridSpan w:val="3"/>
            <w:vAlign w:val="center"/>
          </w:tcPr>
          <w:p>
            <w:pPr>
              <w:pStyle w:val="12"/>
            </w:pPr>
            <w:r>
              <w:t>城乡居民医保代办员补助资金（结转）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w:t>
            </w:r>
          </w:p>
        </w:tc>
        <w:tc>
          <w:tcPr>
            <w:tcW w:w="2835" w:type="dxa"/>
            <w:vAlign w:val="center"/>
          </w:tcPr>
          <w:p>
            <w:pPr>
              <w:pStyle w:val="10"/>
            </w:pPr>
            <w:r>
              <w:t>其中：财政    资金</w:t>
            </w:r>
          </w:p>
        </w:tc>
        <w:tc>
          <w:tcPr>
            <w:tcW w:w="2551" w:type="dxa"/>
            <w:vAlign w:val="center"/>
          </w:tcPr>
          <w:p>
            <w:pPr>
              <w:pStyle w:val="12"/>
            </w:pPr>
            <w:r>
              <w:t>1.87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1.87万元，县级安排数为1.87万元，主要用于及时发放2名村级代办人员工资，保障人员利益，使其更好地完成承担的工作任务；提高服务质量和效率，提高服务领导和工作水平，确保单位各事项工作保质保量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0.94</w:t>
            </w:r>
          </w:p>
        </w:tc>
        <w:tc>
          <w:tcPr>
            <w:tcW w:w="2835" w:type="dxa"/>
            <w:vAlign w:val="center"/>
          </w:tcPr>
          <w:p>
            <w:pPr>
              <w:pStyle w:val="13"/>
            </w:pPr>
            <w:r>
              <w:t>1.87</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1.及时发放2名村级代办人员工资，保障人员利益，使其更好地完成承担的工作任务；提高服务质量和效率，提高服务领导和工作水平，确保单位各事项工作保质保量完成。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代办员补助人数</w:t>
            </w:r>
          </w:p>
        </w:tc>
        <w:tc>
          <w:tcPr>
            <w:tcW w:w="5386" w:type="dxa"/>
            <w:vAlign w:val="center"/>
          </w:tcPr>
          <w:p>
            <w:pPr>
              <w:pStyle w:val="12"/>
            </w:pPr>
            <w:r>
              <w:t>代办员补助人数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代办员补助发放到位率</w:t>
            </w:r>
          </w:p>
        </w:tc>
        <w:tc>
          <w:tcPr>
            <w:tcW w:w="5386" w:type="dxa"/>
            <w:vAlign w:val="center"/>
          </w:tcPr>
          <w:p>
            <w:pPr>
              <w:pStyle w:val="12"/>
            </w:pPr>
            <w:r>
              <w:t>代办员补助发放到位率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代办员补助发放及时率</w:t>
            </w:r>
          </w:p>
        </w:tc>
        <w:tc>
          <w:tcPr>
            <w:tcW w:w="5386" w:type="dxa"/>
            <w:vAlign w:val="center"/>
          </w:tcPr>
          <w:p>
            <w:pPr>
              <w:pStyle w:val="12"/>
            </w:pPr>
            <w:r>
              <w:t>代办员补助发放及时率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代办员人均执行标准</w:t>
            </w:r>
          </w:p>
        </w:tc>
        <w:tc>
          <w:tcPr>
            <w:tcW w:w="5386" w:type="dxa"/>
            <w:vAlign w:val="center"/>
          </w:tcPr>
          <w:p>
            <w:pPr>
              <w:pStyle w:val="12"/>
            </w:pPr>
            <w:r>
              <w:t>代办员人均执行标准</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代办员尽职尽责率</w:t>
            </w:r>
          </w:p>
        </w:tc>
        <w:tc>
          <w:tcPr>
            <w:tcW w:w="5386" w:type="dxa"/>
            <w:vAlign w:val="center"/>
          </w:tcPr>
          <w:p>
            <w:pPr>
              <w:pStyle w:val="12"/>
            </w:pPr>
            <w:r>
              <w:t>代办员尽职尽责率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2、曲阳县城乡居民劳务派遣人员工资经费绩效目标表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13063425P004AN310002K</w:t>
            </w:r>
          </w:p>
        </w:tc>
        <w:tc>
          <w:tcPr>
            <w:tcW w:w="2835" w:type="dxa"/>
            <w:vAlign w:val="center"/>
          </w:tcPr>
          <w:p>
            <w:pPr>
              <w:pStyle w:val="10"/>
            </w:pPr>
            <w:r>
              <w:t>项目名称</w:t>
            </w:r>
          </w:p>
        </w:tc>
        <w:tc>
          <w:tcPr>
            <w:tcW w:w="6095" w:type="dxa"/>
            <w:gridSpan w:val="3"/>
            <w:vAlign w:val="center"/>
          </w:tcPr>
          <w:p>
            <w:pPr>
              <w:pStyle w:val="12"/>
            </w:pPr>
            <w:r>
              <w:t>曲阳县城乡居民劳务派遣人员工资经费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140.56</w:t>
            </w:r>
          </w:p>
        </w:tc>
        <w:tc>
          <w:tcPr>
            <w:tcW w:w="2835" w:type="dxa"/>
            <w:vAlign w:val="center"/>
          </w:tcPr>
          <w:p>
            <w:pPr>
              <w:pStyle w:val="10"/>
            </w:pPr>
            <w:r>
              <w:t>其中：财政    资金</w:t>
            </w:r>
          </w:p>
        </w:tc>
        <w:tc>
          <w:tcPr>
            <w:tcW w:w="2551" w:type="dxa"/>
            <w:vAlign w:val="center"/>
          </w:tcPr>
          <w:p>
            <w:pPr>
              <w:pStyle w:val="12"/>
            </w:pPr>
            <w:r>
              <w:t>140.56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预算数为140.56万元，县级安排资金为140.56万元，主要用于通过对劳务派遣人员及时足额发放工资、缴纳保险，保障劳务派遣人员正常工作和生活需要。</w:t>
            </w:r>
            <w:r>
              <w:tab/>
            </w:r>
            <w:r>
              <w:tab/>
            </w:r>
            <w:r>
              <w:tab/>
            </w:r>
            <w:r>
              <w:tab/>
            </w:r>
            <w:r>
              <w:tab/>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42.17</w:t>
            </w:r>
          </w:p>
        </w:tc>
        <w:tc>
          <w:tcPr>
            <w:tcW w:w="2835" w:type="dxa"/>
            <w:vAlign w:val="center"/>
          </w:tcPr>
          <w:p>
            <w:pPr>
              <w:pStyle w:val="13"/>
            </w:pPr>
            <w:r>
              <w:t>84.34</w:t>
            </w:r>
          </w:p>
        </w:tc>
        <w:tc>
          <w:tcPr>
            <w:tcW w:w="2551" w:type="dxa"/>
            <w:vAlign w:val="center"/>
          </w:tcPr>
          <w:p>
            <w:pPr>
              <w:pStyle w:val="13"/>
            </w:pPr>
            <w:r>
              <w:t>105.42</w:t>
            </w:r>
          </w:p>
        </w:tc>
        <w:tc>
          <w:tcPr>
            <w:tcW w:w="3544" w:type="dxa"/>
            <w:gridSpan w:val="2"/>
            <w:vAlign w:val="center"/>
          </w:tcPr>
          <w:p>
            <w:pPr>
              <w:pStyle w:val="13"/>
            </w:pPr>
            <w:r>
              <w:t>140.56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r>
              <w:tab/>
            </w:r>
            <w:r>
              <w:tab/>
            </w:r>
            <w:r>
              <w:tab/>
            </w:r>
            <w:r>
              <w:tab/>
            </w:r>
          </w:p>
          <w:p>
            <w:pPr>
              <w:pStyle w:val="12"/>
            </w:pP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≥4183.33元/月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劳务派遣尽职尽责率</w:t>
            </w:r>
          </w:p>
        </w:tc>
        <w:tc>
          <w:tcPr>
            <w:tcW w:w="5386" w:type="dxa"/>
            <w:vAlign w:val="center"/>
          </w:tcPr>
          <w:p>
            <w:pPr>
              <w:pStyle w:val="12"/>
            </w:pPr>
            <w:r>
              <w:t>劳务派遣尽职尽责率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3、曲阳县城乡居民医疗服务专项公用经费绩效目标表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13063425P004553100022</w:t>
            </w:r>
          </w:p>
        </w:tc>
        <w:tc>
          <w:tcPr>
            <w:tcW w:w="2835" w:type="dxa"/>
            <w:vAlign w:val="center"/>
          </w:tcPr>
          <w:p>
            <w:pPr>
              <w:pStyle w:val="10"/>
            </w:pPr>
            <w:r>
              <w:t>项目名称</w:t>
            </w:r>
          </w:p>
        </w:tc>
        <w:tc>
          <w:tcPr>
            <w:tcW w:w="6095" w:type="dxa"/>
            <w:gridSpan w:val="3"/>
            <w:vAlign w:val="center"/>
          </w:tcPr>
          <w:p>
            <w:pPr>
              <w:pStyle w:val="12"/>
            </w:pPr>
            <w:r>
              <w:t>曲阳县城乡居民医疗服务专项公用经费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w:t>
            </w:r>
          </w:p>
        </w:tc>
        <w:tc>
          <w:tcPr>
            <w:tcW w:w="2835" w:type="dxa"/>
            <w:vAlign w:val="center"/>
          </w:tcPr>
          <w:p>
            <w:pPr>
              <w:pStyle w:val="10"/>
            </w:pPr>
            <w:r>
              <w:t>其中：财政    资金</w:t>
            </w:r>
          </w:p>
        </w:tc>
        <w:tc>
          <w:tcPr>
            <w:tcW w:w="2551" w:type="dxa"/>
            <w:vAlign w:val="center"/>
          </w:tcPr>
          <w:p>
            <w:pPr>
              <w:pStyle w:val="12"/>
            </w:pPr>
            <w:r>
              <w:t>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预算数5.6万元，其中县级资金安排5.6万元，主要用于与保障专项公用经费支出。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4.00</w:t>
            </w:r>
          </w:p>
        </w:tc>
        <w:tc>
          <w:tcPr>
            <w:tcW w:w="3544" w:type="dxa"/>
            <w:gridSpan w:val="2"/>
            <w:vAlign w:val="center"/>
          </w:tcPr>
          <w:p>
            <w:pPr>
              <w:pStyle w:val="13"/>
            </w:pPr>
            <w:r>
              <w:t>5.60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1.通过公用经费有效减低城乡居民看病就医的经济负担，稳步提高城乡居民基本医疗保险参保率。提高服务质量和效率，提高服务领导和工作水平，确保单位各事项工作保质保量完成。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购置办公用品数量</w:t>
            </w:r>
          </w:p>
        </w:tc>
        <w:tc>
          <w:tcPr>
            <w:tcW w:w="5386" w:type="dxa"/>
            <w:vAlign w:val="center"/>
          </w:tcPr>
          <w:p>
            <w:pPr>
              <w:pStyle w:val="12"/>
            </w:pPr>
            <w:r>
              <w:t>购置办公用品数量</w:t>
            </w:r>
          </w:p>
        </w:tc>
        <w:tc>
          <w:tcPr>
            <w:tcW w:w="2268" w:type="dxa"/>
            <w:vAlign w:val="center"/>
          </w:tcPr>
          <w:p>
            <w:pPr>
              <w:pStyle w:val="12"/>
            </w:pPr>
            <w:r>
              <w:t>≥20个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办公用品成本控制</w:t>
            </w:r>
          </w:p>
        </w:tc>
        <w:tc>
          <w:tcPr>
            <w:tcW w:w="5386" w:type="dxa"/>
            <w:vAlign w:val="center"/>
          </w:tcPr>
          <w:p>
            <w:pPr>
              <w:pStyle w:val="12"/>
            </w:pPr>
            <w:r>
              <w:t>办公用品成本控制</w:t>
            </w:r>
          </w:p>
        </w:tc>
        <w:tc>
          <w:tcPr>
            <w:tcW w:w="2268" w:type="dxa"/>
            <w:vAlign w:val="center"/>
          </w:tcPr>
          <w:p>
            <w:pPr>
              <w:pStyle w:val="12"/>
            </w:pPr>
            <w:r>
              <w:t>≤3.2万元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医疗保险办事效率和水平不断提升</w:t>
            </w:r>
          </w:p>
        </w:tc>
        <w:tc>
          <w:tcPr>
            <w:tcW w:w="5386" w:type="dxa"/>
            <w:vAlign w:val="center"/>
          </w:tcPr>
          <w:p>
            <w:pPr>
              <w:pStyle w:val="12"/>
            </w:pPr>
            <w:r>
              <w:t>医疗保险办事效率和水平不断提升</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曲阳县城乡居民基本医疗保险服务中心小计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1.70</w:t>
            </w:r>
          </w:p>
        </w:tc>
        <w:tc>
          <w:tcPr>
            <w:tcW w:w="1134" w:type="dxa"/>
            <w:vAlign w:val="center"/>
          </w:tcPr>
          <w:p>
            <w:pPr>
              <w:pStyle w:val="12"/>
            </w:pPr>
            <w:r>
              <w:t>其他期刊</w:t>
            </w:r>
          </w:p>
        </w:tc>
        <w:tc>
          <w:tcPr>
            <w:tcW w:w="1134" w:type="dxa"/>
            <w:vAlign w:val="center"/>
          </w:tcPr>
          <w:p>
            <w:pPr>
              <w:pStyle w:val="12"/>
            </w:pPr>
            <w:r>
              <w:t>A04029900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1.70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曲阳县城乡居民医疗服务专项公用经费</w:t>
            </w:r>
          </w:p>
        </w:tc>
        <w:tc>
          <w:tcPr>
            <w:tcW w:w="964" w:type="dxa"/>
            <w:vAlign w:val="center"/>
          </w:tcPr>
          <w:p>
            <w:pPr>
              <w:pStyle w:val="11"/>
            </w:pPr>
            <w:r>
              <w:t>5.60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3.20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曲阳县城乡居民医疗服务专项公用经费</w:t>
            </w:r>
          </w:p>
        </w:tc>
        <w:tc>
          <w:tcPr>
            <w:tcW w:w="964" w:type="dxa"/>
            <w:vAlign w:val="center"/>
          </w:tcPr>
          <w:p>
            <w:pPr>
              <w:pStyle w:val="11"/>
            </w:pPr>
            <w:r>
              <w:t>5.60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曲阳县城乡居民基本医疗保险服务中心上年末固定资产金额为34.56万元（详见下表）。本年度拟购置固定资产总额为0.00万元，已按要求列入政府采购预算，详见政府采购预算表。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165</w:t>
            </w:r>
          </w:p>
        </w:tc>
        <w:tc>
          <w:tcPr>
            <w:tcW w:w="2835" w:type="dxa"/>
            <w:vAlign w:val="center"/>
          </w:tcPr>
          <w:p>
            <w:pPr>
              <w:pStyle w:val="11"/>
            </w:pPr>
            <w:r>
              <w:t>26.70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2DD"/>
    <w:multiLevelType w:val="singleLevel"/>
    <w:tmpl w:val="091922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A210A1"/>
    <w:rsid w:val="3B4B6635"/>
    <w:rsid w:val="5CD51A57"/>
    <w:rsid w:val="666A72A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5227</Words>
  <Characters>7083</Characters>
  <TotalTime>17</TotalTime>
  <ScaleCrop>false</ScaleCrop>
  <LinksUpToDate>false</LinksUpToDate>
  <CharactersWithSpaces>7262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2025-02-06T16:41:00Z</dcterms:created>
  <dc:creator>14155</dc:creator>
  <cp:lastModifiedBy>6665</cp:lastModifiedBy>
  <dcterms:modified xsi:type="dcterms:W3CDTF">2025-02-18T11:04:25Z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eyJoZGlkIjoiNjczY2Y0N2Q2YjI5NDdkOGJhMjY2Mjk0ZGQ5MjJmYWYiLCJ1c2VySWQiOiIyNzUwNjk3MjMifQ==</vt:lpwstr>
  </property>
  <property fmtid="{D5CDD505-2E9C-101B-9397-08002B2CF9AE}" pid="3" name="KSOProductBuildVer">
    <vt:lpwstr>2052-11.1.0.9021</vt:lpwstr>
  </property>
  <property fmtid="{D5CDD505-2E9C-101B-9397-08002B2CF9AE}" pid="4" name="ICV">
    <vt:lpwstr>D77264F0877E417E8D50F2FE01CC38BB_12</vt:lpwstr>
  </property>
</Properties>
</file>