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_Toc3079 </w:instrText>
      </w:r>
      <w:r>
        <w:fldChar w:fldCharType="separate"/>
      </w:r>
      <w:r>
        <w:t>一、部门职责及机构设置情况</w:t>
      </w:r>
      <w:r>
        <w:tab/>
      </w:r>
      <w:r>
        <w:fldChar w:fldCharType="begin"/>
      </w:r>
      <w:r>
        <w:instrText xml:space="preserve"> PAGEREF _Toc3079 </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_Toc11083 </w:instrText>
      </w:r>
      <w:r>
        <w:fldChar w:fldCharType="separate"/>
      </w:r>
      <w:r>
        <w:t>二、部门预算安排的总体情况</w:t>
      </w:r>
      <w:r>
        <w:tab/>
      </w:r>
      <w:r>
        <w:fldChar w:fldCharType="begin"/>
      </w:r>
      <w:r>
        <w:instrText xml:space="preserve"> PAGEREF _Toc11083 </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_Toc32006 </w:instrText>
      </w:r>
      <w:r>
        <w:fldChar w:fldCharType="separate"/>
      </w:r>
      <w:r>
        <w:t>四、财政拨款“三公”经费预算情况及增减变化原因</w:t>
      </w:r>
      <w:r>
        <w:tab/>
      </w:r>
      <w:r>
        <w:fldChar w:fldCharType="begin"/>
      </w:r>
      <w:r>
        <w:instrText xml:space="preserve"> PAGEREF _Toc32006 </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_Toc11119 </w:instrText>
      </w:r>
      <w:r>
        <w:fldChar w:fldCharType="separate"/>
      </w:r>
      <w:r>
        <w:t>五、部门整体绩效目标</w:t>
      </w:r>
      <w:r>
        <w:tab/>
      </w:r>
      <w:r>
        <w:fldChar w:fldCharType="begin"/>
      </w:r>
      <w:r>
        <w:instrText xml:space="preserve"> PAGEREF _Toc11119 </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_Toc24274 </w:instrText>
      </w:r>
      <w:r>
        <w:fldChar w:fldCharType="separate"/>
      </w:r>
      <w:r>
        <w:t>六、部门主管专项资金预算安排情况及绩效目标</w:t>
      </w:r>
      <w:r>
        <w:tab/>
      </w:r>
      <w:r>
        <w:fldChar w:fldCharType="begin"/>
      </w:r>
      <w:r>
        <w:instrText xml:space="preserve"> PAGEREF _Toc24274 </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_Toc24792 </w:instrText>
      </w:r>
      <w:r>
        <w:fldChar w:fldCharType="separate"/>
      </w:r>
      <w:r>
        <w:rPr>
          <w:rFonts w:hint="eastAsia"/>
          <w:lang w:val="en-US" w:eastAsia="zh-CN"/>
        </w:rPr>
        <w:t>七</w:t>
      </w:r>
      <w:r>
        <w:t>、部门项目预算安排情况及绩效目标</w:t>
      </w:r>
      <w:r>
        <w:tab/>
      </w:r>
      <w:r>
        <w:fldChar w:fldCharType="begin"/>
      </w:r>
      <w:r>
        <w:instrText xml:space="preserve"> PAGEREF _Toc24792 </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_Toc27859 </w:instrText>
      </w:r>
      <w:r>
        <w:fldChar w:fldCharType="separate"/>
      </w:r>
      <w:r>
        <w:rPr>
          <w:rFonts w:hint="eastAsia"/>
          <w:lang w:val="en-US" w:eastAsia="zh-CN"/>
        </w:rPr>
        <w:t>八</w:t>
      </w:r>
      <w:r>
        <w:t>、政府采购预算情况</w:t>
      </w:r>
      <w:r>
        <w:tab/>
      </w:r>
      <w:r>
        <w:fldChar w:fldCharType="begin"/>
      </w:r>
      <w:r>
        <w:instrText xml:space="preserve"> PAGEREF _Toc27859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_Toc2654 </w:instrText>
      </w:r>
      <w:r>
        <w:fldChar w:fldCharType="separate"/>
      </w:r>
      <w:r>
        <w:rPr>
          <w:rFonts w:hint="eastAsia"/>
          <w:lang w:val="en-US" w:eastAsia="zh-CN"/>
        </w:rPr>
        <w:t>九</w:t>
      </w:r>
      <w:r>
        <w:t>、国有资产信息</w:t>
      </w:r>
      <w:r>
        <w:tab/>
      </w:r>
      <w:r>
        <w:fldChar w:fldCharType="begin"/>
      </w:r>
      <w:r>
        <w:instrText xml:space="preserve"> PAGEREF _Toc2654 </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_Toc22522 </w:instrText>
      </w:r>
      <w:r>
        <w:fldChar w:fldCharType="separate"/>
      </w:r>
      <w:r>
        <w:rPr>
          <w:rFonts w:hint="eastAsia"/>
          <w:lang w:val="en-US" w:eastAsia="zh-CN"/>
        </w:rPr>
        <w:t>十</w:t>
      </w:r>
      <w:r>
        <w:t>、名词解释</w:t>
      </w:r>
      <w:r>
        <w:tab/>
      </w:r>
      <w:r>
        <w:fldChar w:fldCharType="begin"/>
      </w:r>
      <w:r>
        <w:instrText xml:space="preserve"> PAGEREF _Toc22522 </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_Toc31832 </w:instrText>
      </w:r>
      <w:r>
        <w:fldChar w:fldCharType="separate"/>
      </w:r>
      <w:r>
        <w:t>十</w:t>
      </w:r>
      <w:r>
        <w:rPr>
          <w:rFonts w:hint="eastAsia"/>
          <w:lang w:val="en-US" w:eastAsia="zh-CN"/>
        </w:rPr>
        <w:t>一</w:t>
      </w:r>
      <w:r>
        <w:t>、其他需要说明的事项</w:t>
      </w:r>
      <w:r>
        <w:tab/>
      </w:r>
      <w:r>
        <w:fldChar w:fldCharType="begin"/>
      </w:r>
      <w:r>
        <w:instrText xml:space="preserve"> PAGEREF _Toc31832 </w:instrText>
      </w:r>
      <w:r>
        <w:fldChar w:fldCharType="separate"/>
      </w:r>
      <w:r>
        <w:t>29</w:t>
      </w:r>
      <w:r>
        <w:fldChar w:fldCharType="end"/>
      </w:r>
      <w:r>
        <w:fldChar w:fldCharType="end"/>
      </w:r>
    </w:p>
    <w:p>
      <w:pPr>
        <w:pStyle w:val="3"/>
        <w:tabs>
          <w:tab w:val="right" w:leader="dot" w:pos="14562"/>
        </w:tabs>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133.95</w:t>
            </w:r>
          </w:p>
        </w:tc>
        <w:tc>
          <w:tcPr>
            <w:tcW w:w="4535" w:type="dxa"/>
            <w:vAlign w:val="center"/>
          </w:tcPr>
          <w:p>
            <w:pPr>
              <w:pStyle w:val="13"/>
            </w:pPr>
            <w:r>
              <w:t>一、一般公共服务支出</w:t>
            </w:r>
          </w:p>
        </w:tc>
        <w:tc>
          <w:tcPr>
            <w:tcW w:w="2126" w:type="dxa"/>
            <w:vAlign w:val="center"/>
          </w:tcPr>
          <w:p>
            <w:pPr>
              <w:pStyle w:val="12"/>
            </w:pPr>
            <w:r>
              <w:t>102.85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133.95</w:t>
            </w:r>
          </w:p>
        </w:tc>
        <w:tc>
          <w:tcPr>
            <w:tcW w:w="4535" w:type="dxa"/>
            <w:vAlign w:val="center"/>
          </w:tcPr>
          <w:p>
            <w:pPr>
              <w:pStyle w:val="15"/>
            </w:pPr>
            <w:r>
              <w:t>本年支出合计</w:t>
            </w:r>
          </w:p>
        </w:tc>
        <w:tc>
          <w:tcPr>
            <w:tcW w:w="2126" w:type="dxa"/>
            <w:vAlign w:val="center"/>
          </w:tcPr>
          <w:p>
            <w:pPr>
              <w:pStyle w:val="16"/>
            </w:pPr>
            <w:r>
              <w:t>133.95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133.95</w:t>
            </w:r>
          </w:p>
        </w:tc>
        <w:tc>
          <w:tcPr>
            <w:tcW w:w="4535" w:type="dxa"/>
            <w:vAlign w:val="center"/>
          </w:tcPr>
          <w:p>
            <w:pPr>
              <w:pStyle w:val="15"/>
            </w:pPr>
            <w:r>
              <w:t>支出总计</w:t>
            </w:r>
          </w:p>
        </w:tc>
        <w:tc>
          <w:tcPr>
            <w:tcW w:w="2126" w:type="dxa"/>
            <w:vAlign w:val="center"/>
          </w:tcPr>
          <w:p>
            <w:pPr>
              <w:pStyle w:val="16"/>
            </w:pPr>
            <w:r>
              <w:t>133.95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133.95</w:t>
            </w:r>
          </w:p>
        </w:tc>
        <w:tc>
          <w:tcPr>
            <w:tcW w:w="1134" w:type="dxa"/>
            <w:vAlign w:val="center"/>
          </w:tcPr>
          <w:p>
            <w:pPr>
              <w:pStyle w:val="16"/>
            </w:pPr>
            <w:r>
              <w:t>133.95</w:t>
            </w:r>
          </w:p>
        </w:tc>
        <w:tc>
          <w:tcPr>
            <w:tcW w:w="1134" w:type="dxa"/>
            <w:vAlign w:val="center"/>
          </w:tcPr>
          <w:p>
            <w:pPr>
              <w:pStyle w:val="16"/>
            </w:pPr>
            <w:r>
              <w:t>133.95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102.85</w:t>
            </w:r>
          </w:p>
        </w:tc>
        <w:tc>
          <w:tcPr>
            <w:tcW w:w="1134" w:type="dxa"/>
            <w:vAlign w:val="center"/>
          </w:tcPr>
          <w:p>
            <w:pPr>
              <w:pStyle w:val="12"/>
            </w:pPr>
            <w:r>
              <w:t>102.85</w:t>
            </w:r>
          </w:p>
        </w:tc>
        <w:tc>
          <w:tcPr>
            <w:tcW w:w="1134" w:type="dxa"/>
            <w:vAlign w:val="center"/>
          </w:tcPr>
          <w:p>
            <w:pPr>
              <w:pStyle w:val="12"/>
            </w:pPr>
            <w:r>
              <w:t>102.85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102.85</w:t>
            </w:r>
          </w:p>
        </w:tc>
        <w:tc>
          <w:tcPr>
            <w:tcW w:w="1134" w:type="dxa"/>
            <w:vAlign w:val="center"/>
          </w:tcPr>
          <w:p>
            <w:pPr>
              <w:pStyle w:val="12"/>
            </w:pPr>
            <w:r>
              <w:t>102.85</w:t>
            </w:r>
          </w:p>
        </w:tc>
        <w:tc>
          <w:tcPr>
            <w:tcW w:w="1134" w:type="dxa"/>
            <w:vAlign w:val="center"/>
          </w:tcPr>
          <w:p>
            <w:pPr>
              <w:pStyle w:val="12"/>
            </w:pPr>
            <w:r>
              <w:t>102.85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71.18</w:t>
            </w:r>
          </w:p>
        </w:tc>
        <w:tc>
          <w:tcPr>
            <w:tcW w:w="1134" w:type="dxa"/>
            <w:vAlign w:val="center"/>
          </w:tcPr>
          <w:p>
            <w:pPr>
              <w:pStyle w:val="12"/>
            </w:pPr>
            <w:r>
              <w:t>71.18</w:t>
            </w:r>
          </w:p>
        </w:tc>
        <w:tc>
          <w:tcPr>
            <w:tcW w:w="1134" w:type="dxa"/>
            <w:vAlign w:val="center"/>
          </w:tcPr>
          <w:p>
            <w:pPr>
              <w:pStyle w:val="12"/>
            </w:pPr>
            <w:r>
              <w:t>71.18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5.16</w:t>
            </w:r>
          </w:p>
        </w:tc>
        <w:tc>
          <w:tcPr>
            <w:tcW w:w="1134" w:type="dxa"/>
            <w:vAlign w:val="center"/>
          </w:tcPr>
          <w:p>
            <w:pPr>
              <w:pStyle w:val="12"/>
            </w:pPr>
            <w:r>
              <w:t>5.16</w:t>
            </w:r>
          </w:p>
        </w:tc>
        <w:tc>
          <w:tcPr>
            <w:tcW w:w="1134" w:type="dxa"/>
            <w:vAlign w:val="center"/>
          </w:tcPr>
          <w:p>
            <w:pPr>
              <w:pStyle w:val="12"/>
            </w:pPr>
            <w:r>
              <w:t>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7.08</w:t>
            </w:r>
          </w:p>
        </w:tc>
        <w:tc>
          <w:tcPr>
            <w:tcW w:w="1134" w:type="dxa"/>
            <w:vAlign w:val="center"/>
          </w:tcPr>
          <w:p>
            <w:pPr>
              <w:pStyle w:val="12"/>
            </w:pPr>
            <w:r>
              <w:t>7.08</w:t>
            </w:r>
          </w:p>
        </w:tc>
        <w:tc>
          <w:tcPr>
            <w:tcW w:w="1134" w:type="dxa"/>
            <w:vAlign w:val="center"/>
          </w:tcPr>
          <w:p>
            <w:pPr>
              <w:pStyle w:val="12"/>
            </w:pPr>
            <w:r>
              <w:t>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7.08</w:t>
            </w:r>
          </w:p>
        </w:tc>
        <w:tc>
          <w:tcPr>
            <w:tcW w:w="1134" w:type="dxa"/>
            <w:vAlign w:val="center"/>
          </w:tcPr>
          <w:p>
            <w:pPr>
              <w:pStyle w:val="12"/>
            </w:pPr>
            <w:r>
              <w:t>7.08</w:t>
            </w:r>
          </w:p>
        </w:tc>
        <w:tc>
          <w:tcPr>
            <w:tcW w:w="1134" w:type="dxa"/>
            <w:vAlign w:val="center"/>
          </w:tcPr>
          <w:p>
            <w:pPr>
              <w:pStyle w:val="12"/>
            </w:pPr>
            <w:r>
              <w:t>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3.74</w:t>
            </w:r>
          </w:p>
        </w:tc>
        <w:tc>
          <w:tcPr>
            <w:tcW w:w="1134" w:type="dxa"/>
            <w:vAlign w:val="center"/>
          </w:tcPr>
          <w:p>
            <w:pPr>
              <w:pStyle w:val="12"/>
            </w:pPr>
            <w:r>
              <w:t>3.74</w:t>
            </w:r>
          </w:p>
        </w:tc>
        <w:tc>
          <w:tcPr>
            <w:tcW w:w="1134" w:type="dxa"/>
            <w:vAlign w:val="center"/>
          </w:tcPr>
          <w:p>
            <w:pPr>
              <w:pStyle w:val="12"/>
            </w:pPr>
            <w:r>
              <w:t>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1.94</w:t>
            </w:r>
          </w:p>
        </w:tc>
        <w:tc>
          <w:tcPr>
            <w:tcW w:w="1134" w:type="dxa"/>
            <w:vAlign w:val="center"/>
          </w:tcPr>
          <w:p>
            <w:pPr>
              <w:pStyle w:val="12"/>
            </w:pPr>
            <w:r>
              <w:t>1.94</w:t>
            </w:r>
          </w:p>
        </w:tc>
        <w:tc>
          <w:tcPr>
            <w:tcW w:w="1134" w:type="dxa"/>
            <w:vAlign w:val="center"/>
          </w:tcPr>
          <w:p>
            <w:pPr>
              <w:pStyle w:val="12"/>
            </w:pPr>
            <w:r>
              <w:t>1.94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133.95</w:t>
            </w:r>
          </w:p>
        </w:tc>
        <w:tc>
          <w:tcPr>
            <w:tcW w:w="1361" w:type="dxa"/>
            <w:vAlign w:val="center"/>
          </w:tcPr>
          <w:p>
            <w:pPr>
              <w:pStyle w:val="16"/>
            </w:pPr>
            <w:r>
              <w:t>120.95</w:t>
            </w:r>
          </w:p>
        </w:tc>
        <w:tc>
          <w:tcPr>
            <w:tcW w:w="1361" w:type="dxa"/>
            <w:vAlign w:val="center"/>
          </w:tcPr>
          <w:p>
            <w:pPr>
              <w:pStyle w:val="16"/>
            </w:pPr>
            <w:r>
              <w:t>13.00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102.85</w:t>
            </w:r>
          </w:p>
        </w:tc>
        <w:tc>
          <w:tcPr>
            <w:tcW w:w="1361" w:type="dxa"/>
            <w:vAlign w:val="center"/>
          </w:tcPr>
          <w:p>
            <w:pPr>
              <w:pStyle w:val="12"/>
            </w:pPr>
            <w:r>
              <w:t>89.85</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102.85</w:t>
            </w:r>
          </w:p>
        </w:tc>
        <w:tc>
          <w:tcPr>
            <w:tcW w:w="1361" w:type="dxa"/>
            <w:vAlign w:val="center"/>
          </w:tcPr>
          <w:p>
            <w:pPr>
              <w:pStyle w:val="12"/>
            </w:pPr>
            <w:r>
              <w:t>89.85</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71.18</w:t>
            </w:r>
          </w:p>
        </w:tc>
        <w:tc>
          <w:tcPr>
            <w:tcW w:w="1361" w:type="dxa"/>
            <w:vAlign w:val="center"/>
          </w:tcPr>
          <w:p>
            <w:pPr>
              <w:pStyle w:val="12"/>
            </w:pPr>
            <w:r>
              <w:t>71.18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18.67</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15.96</w:t>
            </w:r>
          </w:p>
        </w:tc>
        <w:tc>
          <w:tcPr>
            <w:tcW w:w="1361" w:type="dxa"/>
            <w:vAlign w:val="center"/>
          </w:tcPr>
          <w:p>
            <w:pPr>
              <w:pStyle w:val="12"/>
            </w:pPr>
            <w:r>
              <w:t>15.96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15.96</w:t>
            </w:r>
          </w:p>
        </w:tc>
        <w:tc>
          <w:tcPr>
            <w:tcW w:w="1361" w:type="dxa"/>
            <w:vAlign w:val="center"/>
          </w:tcPr>
          <w:p>
            <w:pPr>
              <w:pStyle w:val="12"/>
            </w:pPr>
            <w:r>
              <w:t>15.96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5.16</w:t>
            </w:r>
          </w:p>
        </w:tc>
        <w:tc>
          <w:tcPr>
            <w:tcW w:w="1361" w:type="dxa"/>
            <w:vAlign w:val="center"/>
          </w:tcPr>
          <w:p>
            <w:pPr>
              <w:pStyle w:val="12"/>
            </w:pPr>
            <w:r>
              <w:t>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10.80</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7.08</w:t>
            </w:r>
          </w:p>
        </w:tc>
        <w:tc>
          <w:tcPr>
            <w:tcW w:w="1361" w:type="dxa"/>
            <w:vAlign w:val="center"/>
          </w:tcPr>
          <w:p>
            <w:pPr>
              <w:pStyle w:val="12"/>
            </w:pPr>
            <w:r>
              <w:t>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7.08</w:t>
            </w:r>
          </w:p>
        </w:tc>
        <w:tc>
          <w:tcPr>
            <w:tcW w:w="1361" w:type="dxa"/>
            <w:vAlign w:val="center"/>
          </w:tcPr>
          <w:p>
            <w:pPr>
              <w:pStyle w:val="12"/>
            </w:pPr>
            <w:r>
              <w:t>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3.74</w:t>
            </w:r>
          </w:p>
        </w:tc>
        <w:tc>
          <w:tcPr>
            <w:tcW w:w="1361" w:type="dxa"/>
            <w:vAlign w:val="center"/>
          </w:tcPr>
          <w:p>
            <w:pPr>
              <w:pStyle w:val="12"/>
            </w:pPr>
            <w:r>
              <w:t>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1.40</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1.94</w:t>
            </w:r>
          </w:p>
        </w:tc>
        <w:tc>
          <w:tcPr>
            <w:tcW w:w="1361" w:type="dxa"/>
            <w:vAlign w:val="center"/>
          </w:tcPr>
          <w:p>
            <w:pPr>
              <w:pStyle w:val="12"/>
            </w:pPr>
            <w:r>
              <w:t>1.94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8.06</w:t>
            </w:r>
          </w:p>
        </w:tc>
        <w:tc>
          <w:tcPr>
            <w:tcW w:w="1361" w:type="dxa"/>
            <w:vAlign w:val="center"/>
          </w:tcPr>
          <w:p>
            <w:pPr>
              <w:pStyle w:val="12"/>
            </w:pPr>
            <w:r>
              <w:t>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8.06</w:t>
            </w:r>
          </w:p>
        </w:tc>
        <w:tc>
          <w:tcPr>
            <w:tcW w:w="1361" w:type="dxa"/>
            <w:vAlign w:val="center"/>
          </w:tcPr>
          <w:p>
            <w:pPr>
              <w:pStyle w:val="12"/>
            </w:pPr>
            <w:r>
              <w:t>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8.06</w:t>
            </w:r>
          </w:p>
        </w:tc>
        <w:tc>
          <w:tcPr>
            <w:tcW w:w="1361" w:type="dxa"/>
            <w:vAlign w:val="center"/>
          </w:tcPr>
          <w:p>
            <w:pPr>
              <w:pStyle w:val="12"/>
            </w:pPr>
            <w:r>
              <w:t>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133.95</w:t>
            </w:r>
          </w:p>
        </w:tc>
        <w:tc>
          <w:tcPr>
            <w:tcW w:w="3402" w:type="dxa"/>
            <w:vAlign w:val="center"/>
          </w:tcPr>
          <w:p>
            <w:pPr>
              <w:pStyle w:val="13"/>
            </w:pPr>
            <w:r>
              <w:t>一、一般公共服务支出</w:t>
            </w:r>
          </w:p>
        </w:tc>
        <w:tc>
          <w:tcPr>
            <w:tcW w:w="1474" w:type="dxa"/>
            <w:vAlign w:val="center"/>
          </w:tcPr>
          <w:p>
            <w:pPr>
              <w:pStyle w:val="12"/>
            </w:pPr>
            <w:r>
              <w:t>102.85</w:t>
            </w:r>
          </w:p>
        </w:tc>
        <w:tc>
          <w:tcPr>
            <w:tcW w:w="1474" w:type="dxa"/>
            <w:vAlign w:val="center"/>
          </w:tcPr>
          <w:p>
            <w:pPr>
              <w:pStyle w:val="12"/>
            </w:pPr>
            <w:r>
              <w:t>102.85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15.96</w:t>
            </w:r>
          </w:p>
        </w:tc>
        <w:tc>
          <w:tcPr>
            <w:tcW w:w="1474" w:type="dxa"/>
            <w:vAlign w:val="center"/>
          </w:tcPr>
          <w:p>
            <w:pPr>
              <w:pStyle w:val="12"/>
            </w:pPr>
            <w:r>
              <w:t>15.96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7.08</w:t>
            </w:r>
          </w:p>
        </w:tc>
        <w:tc>
          <w:tcPr>
            <w:tcW w:w="1474" w:type="dxa"/>
            <w:vAlign w:val="center"/>
          </w:tcPr>
          <w:p>
            <w:pPr>
              <w:pStyle w:val="12"/>
            </w:pPr>
            <w:r>
              <w:t>7.08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8.06</w:t>
            </w:r>
          </w:p>
        </w:tc>
        <w:tc>
          <w:tcPr>
            <w:tcW w:w="1474" w:type="dxa"/>
            <w:vAlign w:val="center"/>
          </w:tcPr>
          <w:p>
            <w:pPr>
              <w:pStyle w:val="12"/>
            </w:pPr>
            <w:r>
              <w:t>8.06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133.95</w:t>
            </w:r>
          </w:p>
        </w:tc>
        <w:tc>
          <w:tcPr>
            <w:tcW w:w="3402" w:type="dxa"/>
            <w:vAlign w:val="center"/>
          </w:tcPr>
          <w:p>
            <w:pPr>
              <w:pStyle w:val="15"/>
            </w:pPr>
            <w:r>
              <w:t>本年支出合计</w:t>
            </w:r>
          </w:p>
        </w:tc>
        <w:tc>
          <w:tcPr>
            <w:tcW w:w="1474" w:type="dxa"/>
            <w:vAlign w:val="center"/>
          </w:tcPr>
          <w:p>
            <w:pPr>
              <w:pStyle w:val="16"/>
            </w:pPr>
            <w:r>
              <w:t>133.95</w:t>
            </w:r>
          </w:p>
        </w:tc>
        <w:tc>
          <w:tcPr>
            <w:tcW w:w="1474" w:type="dxa"/>
            <w:vAlign w:val="center"/>
          </w:tcPr>
          <w:p>
            <w:pPr>
              <w:pStyle w:val="16"/>
            </w:pPr>
            <w:r>
              <w:t>133.95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133.95</w:t>
            </w:r>
          </w:p>
        </w:tc>
        <w:tc>
          <w:tcPr>
            <w:tcW w:w="3402" w:type="dxa"/>
            <w:vAlign w:val="center"/>
          </w:tcPr>
          <w:p>
            <w:pPr>
              <w:pStyle w:val="15"/>
            </w:pPr>
            <w:r>
              <w:t>支出总计</w:t>
            </w:r>
          </w:p>
        </w:tc>
        <w:tc>
          <w:tcPr>
            <w:tcW w:w="1474" w:type="dxa"/>
            <w:vAlign w:val="center"/>
          </w:tcPr>
          <w:p>
            <w:pPr>
              <w:pStyle w:val="16"/>
            </w:pPr>
            <w:r>
              <w:t>133.95</w:t>
            </w:r>
          </w:p>
        </w:tc>
        <w:tc>
          <w:tcPr>
            <w:tcW w:w="1474" w:type="dxa"/>
            <w:vAlign w:val="center"/>
          </w:tcPr>
          <w:p>
            <w:pPr>
              <w:pStyle w:val="16"/>
            </w:pPr>
            <w:r>
              <w:t>133.95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133.95</w:t>
            </w:r>
          </w:p>
        </w:tc>
        <w:tc>
          <w:tcPr>
            <w:tcW w:w="2551" w:type="dxa"/>
            <w:vAlign w:val="center"/>
          </w:tcPr>
          <w:p>
            <w:pPr>
              <w:pStyle w:val="16"/>
            </w:pPr>
            <w:r>
              <w:t>120.95</w:t>
            </w:r>
          </w:p>
        </w:tc>
        <w:tc>
          <w:tcPr>
            <w:tcW w:w="2551" w:type="dxa"/>
            <w:vAlign w:val="center"/>
          </w:tcPr>
          <w:p>
            <w:pPr>
              <w:pStyle w:val="16"/>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102.85</w:t>
            </w:r>
          </w:p>
        </w:tc>
        <w:tc>
          <w:tcPr>
            <w:tcW w:w="2551" w:type="dxa"/>
            <w:vAlign w:val="center"/>
          </w:tcPr>
          <w:p>
            <w:pPr>
              <w:pStyle w:val="12"/>
            </w:pPr>
            <w:r>
              <w:t>89.85</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102.85</w:t>
            </w:r>
          </w:p>
        </w:tc>
        <w:tc>
          <w:tcPr>
            <w:tcW w:w="2551" w:type="dxa"/>
            <w:vAlign w:val="center"/>
          </w:tcPr>
          <w:p>
            <w:pPr>
              <w:pStyle w:val="12"/>
            </w:pPr>
            <w:r>
              <w:t>89.85</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71.18</w:t>
            </w:r>
          </w:p>
        </w:tc>
        <w:tc>
          <w:tcPr>
            <w:tcW w:w="2551" w:type="dxa"/>
            <w:vAlign w:val="center"/>
          </w:tcPr>
          <w:p>
            <w:pPr>
              <w:pStyle w:val="12"/>
            </w:pPr>
            <w:r>
              <w:t>71.18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5.16</w:t>
            </w:r>
          </w:p>
        </w:tc>
        <w:tc>
          <w:tcPr>
            <w:tcW w:w="2551" w:type="dxa"/>
            <w:vAlign w:val="center"/>
          </w:tcPr>
          <w:p>
            <w:pPr>
              <w:pStyle w:val="12"/>
            </w:pPr>
            <w:r>
              <w:t>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7.08</w:t>
            </w:r>
          </w:p>
        </w:tc>
        <w:tc>
          <w:tcPr>
            <w:tcW w:w="2551" w:type="dxa"/>
            <w:vAlign w:val="center"/>
          </w:tcPr>
          <w:p>
            <w:pPr>
              <w:pStyle w:val="12"/>
            </w:pPr>
            <w:r>
              <w:t>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7.08</w:t>
            </w:r>
          </w:p>
        </w:tc>
        <w:tc>
          <w:tcPr>
            <w:tcW w:w="2551" w:type="dxa"/>
            <w:vAlign w:val="center"/>
          </w:tcPr>
          <w:p>
            <w:pPr>
              <w:pStyle w:val="12"/>
            </w:pPr>
            <w:r>
              <w:t>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3.74</w:t>
            </w:r>
          </w:p>
        </w:tc>
        <w:tc>
          <w:tcPr>
            <w:tcW w:w="2551" w:type="dxa"/>
            <w:vAlign w:val="center"/>
          </w:tcPr>
          <w:p>
            <w:pPr>
              <w:pStyle w:val="12"/>
            </w:pPr>
            <w:r>
              <w:t>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1.94</w:t>
            </w:r>
          </w:p>
        </w:tc>
        <w:tc>
          <w:tcPr>
            <w:tcW w:w="2551" w:type="dxa"/>
            <w:vAlign w:val="center"/>
          </w:tcPr>
          <w:p>
            <w:pPr>
              <w:pStyle w:val="12"/>
            </w:pPr>
            <w:r>
              <w:t>1.94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8.06</w:t>
            </w:r>
          </w:p>
        </w:tc>
        <w:tc>
          <w:tcPr>
            <w:tcW w:w="2551" w:type="dxa"/>
            <w:vAlign w:val="center"/>
          </w:tcPr>
          <w:p>
            <w:pPr>
              <w:pStyle w:val="12"/>
            </w:pPr>
            <w:r>
              <w:t>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8.06</w:t>
            </w:r>
          </w:p>
        </w:tc>
        <w:tc>
          <w:tcPr>
            <w:tcW w:w="2551" w:type="dxa"/>
            <w:vAlign w:val="center"/>
          </w:tcPr>
          <w:p>
            <w:pPr>
              <w:pStyle w:val="12"/>
            </w:pPr>
            <w:r>
              <w:t>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8.06</w:t>
            </w:r>
          </w:p>
        </w:tc>
        <w:tc>
          <w:tcPr>
            <w:tcW w:w="2551" w:type="dxa"/>
            <w:vAlign w:val="center"/>
          </w:tcPr>
          <w:p>
            <w:pPr>
              <w:pStyle w:val="12"/>
            </w:pPr>
            <w:r>
              <w:t>8.06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120.95</w:t>
            </w:r>
          </w:p>
        </w:tc>
        <w:tc>
          <w:tcPr>
            <w:tcW w:w="2551" w:type="dxa"/>
            <w:vAlign w:val="center"/>
          </w:tcPr>
          <w:p>
            <w:pPr>
              <w:pStyle w:val="16"/>
            </w:pPr>
            <w:r>
              <w:t>110.03</w:t>
            </w:r>
          </w:p>
        </w:tc>
        <w:tc>
          <w:tcPr>
            <w:tcW w:w="2551" w:type="dxa"/>
            <w:vAlign w:val="center"/>
          </w:tcPr>
          <w:p>
            <w:pPr>
              <w:pStyle w:val="16"/>
            </w:pPr>
            <w:r>
              <w:t>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104.87</w:t>
            </w:r>
          </w:p>
        </w:tc>
        <w:tc>
          <w:tcPr>
            <w:tcW w:w="2551" w:type="dxa"/>
            <w:vAlign w:val="center"/>
          </w:tcPr>
          <w:p>
            <w:pPr>
              <w:pStyle w:val="12"/>
            </w:pPr>
            <w:r>
              <w:t>104.87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43.50</w:t>
            </w:r>
          </w:p>
        </w:tc>
        <w:tc>
          <w:tcPr>
            <w:tcW w:w="2551" w:type="dxa"/>
            <w:vAlign w:val="center"/>
          </w:tcPr>
          <w:p>
            <w:pPr>
              <w:pStyle w:val="12"/>
            </w:pPr>
            <w:r>
              <w:t>43.50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17.27</w:t>
            </w:r>
          </w:p>
        </w:tc>
        <w:tc>
          <w:tcPr>
            <w:tcW w:w="2551" w:type="dxa"/>
            <w:vAlign w:val="center"/>
          </w:tcPr>
          <w:p>
            <w:pPr>
              <w:pStyle w:val="12"/>
            </w:pPr>
            <w:r>
              <w:t>17.27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10.57</w:t>
            </w:r>
          </w:p>
        </w:tc>
        <w:tc>
          <w:tcPr>
            <w:tcW w:w="2551" w:type="dxa"/>
            <w:vAlign w:val="center"/>
          </w:tcPr>
          <w:p>
            <w:pPr>
              <w:pStyle w:val="12"/>
            </w:pPr>
            <w:r>
              <w:t>10.57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5.14</w:t>
            </w:r>
          </w:p>
        </w:tc>
        <w:tc>
          <w:tcPr>
            <w:tcW w:w="2551" w:type="dxa"/>
            <w:vAlign w:val="center"/>
          </w:tcPr>
          <w:p>
            <w:pPr>
              <w:pStyle w:val="12"/>
            </w:pPr>
            <w:r>
              <w:t>5.14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1.94</w:t>
            </w:r>
          </w:p>
        </w:tc>
        <w:tc>
          <w:tcPr>
            <w:tcW w:w="2551" w:type="dxa"/>
            <w:vAlign w:val="center"/>
          </w:tcPr>
          <w:p>
            <w:pPr>
              <w:pStyle w:val="12"/>
            </w:pPr>
            <w:r>
              <w:t>1.94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0.65</w:t>
            </w:r>
          </w:p>
        </w:tc>
        <w:tc>
          <w:tcPr>
            <w:tcW w:w="2551" w:type="dxa"/>
            <w:vAlign w:val="center"/>
          </w:tcPr>
          <w:p>
            <w:pPr>
              <w:pStyle w:val="12"/>
            </w:pPr>
            <w:r>
              <w:t>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8.06</w:t>
            </w:r>
          </w:p>
        </w:tc>
        <w:tc>
          <w:tcPr>
            <w:tcW w:w="2551" w:type="dxa"/>
            <w:vAlign w:val="center"/>
          </w:tcPr>
          <w:p>
            <w:pPr>
              <w:pStyle w:val="12"/>
            </w:pPr>
            <w:r>
              <w:t>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10.92</w:t>
            </w:r>
          </w:p>
        </w:tc>
        <w:tc>
          <w:tcPr>
            <w:tcW w:w="2551" w:type="dxa"/>
            <w:vAlign w:val="center"/>
          </w:tcPr>
          <w:p>
            <w:pPr>
              <w:pStyle w:val="12"/>
            </w:pPr>
          </w:p>
        </w:tc>
        <w:tc>
          <w:tcPr>
            <w:tcW w:w="2551" w:type="dxa"/>
            <w:vAlign w:val="center"/>
          </w:tcPr>
          <w:p>
            <w:pPr>
              <w:pStyle w:val="12"/>
            </w:pPr>
            <w:r>
              <w:t>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1.94</w:t>
            </w:r>
          </w:p>
        </w:tc>
        <w:tc>
          <w:tcPr>
            <w:tcW w:w="2551" w:type="dxa"/>
            <w:vAlign w:val="center"/>
          </w:tcPr>
          <w:p>
            <w:pPr>
              <w:pStyle w:val="12"/>
            </w:pPr>
          </w:p>
        </w:tc>
        <w:tc>
          <w:tcPr>
            <w:tcW w:w="2551" w:type="dxa"/>
            <w:vAlign w:val="center"/>
          </w:tcPr>
          <w:p>
            <w:pPr>
              <w:pStyle w:val="12"/>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1.09</w:t>
            </w:r>
          </w:p>
        </w:tc>
        <w:tc>
          <w:tcPr>
            <w:tcW w:w="2551" w:type="dxa"/>
            <w:vAlign w:val="center"/>
          </w:tcPr>
          <w:p>
            <w:pPr>
              <w:pStyle w:val="12"/>
            </w:pPr>
          </w:p>
        </w:tc>
        <w:tc>
          <w:tcPr>
            <w:tcW w:w="2551" w:type="dxa"/>
            <w:vAlign w:val="center"/>
          </w:tcPr>
          <w:p>
            <w:pPr>
              <w:pStyle w:val="12"/>
            </w:pPr>
            <w:r>
              <w:t>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5.16</w:t>
            </w:r>
          </w:p>
        </w:tc>
        <w:tc>
          <w:tcPr>
            <w:tcW w:w="2551" w:type="dxa"/>
            <w:vAlign w:val="center"/>
          </w:tcPr>
          <w:p>
            <w:pPr>
              <w:pStyle w:val="12"/>
            </w:pPr>
            <w:r>
              <w:t>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5.16</w:t>
            </w:r>
          </w:p>
        </w:tc>
        <w:tc>
          <w:tcPr>
            <w:tcW w:w="2551" w:type="dxa"/>
            <w:vAlign w:val="center"/>
          </w:tcPr>
          <w:p>
            <w:pPr>
              <w:pStyle w:val="12"/>
            </w:pPr>
            <w:r>
              <w:t>5.16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中共曲阳县委机构编制委员会办公室2025年部门预算信息公开情况说明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中共曲阳县委机构编制委员会办公室2025年部门预算信息公开情况说明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按照《中华人民共和国预算法》、《地方预决算公开操作规程》和《关于进一步推进预算公开工作的实施意见》规定，现将中共曲阳县委机构编制委员会办公室2025年部门预算公开如下：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9" w:name="_Toc3079"/>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pStyle w:val="18"/>
      </w:pPr>
      <w:r>
        <w:t>（二）组织拟订全县行政管理体制改革和县委、县政府机构改革方案并组织实施。指导全县行政管理体制和机构改革以及机构编制管理工作；负责行政执法体制改革工作。</w:t>
      </w:r>
    </w:p>
    <w:p>
      <w:pPr>
        <w:pStyle w:val="18"/>
      </w:pPr>
      <w:r>
        <w:t>（三）协调县委、县政府各部门的职能配置及其调整。协调县委、县政府部门之间以及县直部门之间的职责分工。</w:t>
      </w:r>
    </w:p>
    <w:p>
      <w:pPr>
        <w:pStyle w:val="18"/>
      </w:pPr>
      <w:r>
        <w:t>（四）审核或审批县委、县政府各部门及各部门派出机构的职能配置、机构设置、人员编制和领导职数；审核县人大、县政协和县级各民主党派、人民团体机关的职能配置、机构设置、人员编制和领导职数。</w:t>
      </w:r>
    </w:p>
    <w:p>
      <w:pPr>
        <w:pStyle w:val="18"/>
      </w:pPr>
      <w: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检</w:t>
      </w:r>
      <w:r>
        <w:rPr>
          <w:rFonts w:hint="eastAsia"/>
          <w:lang w:eastAsia="zh-CN"/>
        </w:rPr>
        <w:t>查</w:t>
      </w:r>
      <w:r>
        <w:t>工作。</w:t>
      </w:r>
    </w:p>
    <w:p>
      <w:pPr>
        <w:pStyle w:val="18"/>
      </w:pPr>
      <w:r>
        <w:t>（六）指导县开发区（园区）行政管理体制改革工作。组织拟订县开发区（园区）机构编制管理办法并组织实施，审核县开发区（园区）职能配置、机构设置、人员编制和领导职数。</w:t>
      </w:r>
    </w:p>
    <w:p>
      <w:pPr>
        <w:pStyle w:val="18"/>
      </w:pPr>
      <w:r>
        <w:t>（七）负责全县机构编制的总量控制和动态管理。会同有关部门负责机构编制实名制工作；负责县直机关事业单位编制使用核准；建立健全机构编制部门与有关部门间的协调配合约束机制。</w:t>
      </w:r>
    </w:p>
    <w:p>
      <w:pPr>
        <w:pStyle w:val="18"/>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8"/>
      </w:pPr>
      <w:r>
        <w:t>（九）负责全县机构编制电子政务和信息化工作。负责全县机构编制统计工作；负责机构编制网站的建设管理以及网络安全工作；指导全县党政群机关、事业单位和其他非营利性单位网上名称管理工作。</w:t>
      </w:r>
    </w:p>
    <w:p>
      <w:pPr>
        <w:pStyle w:val="18"/>
      </w:pPr>
      <w:r>
        <w:t>（十）组织开展行政体制改革及机构编制管理创新基础性和前瞻性研究。</w:t>
      </w:r>
    </w:p>
    <w:p>
      <w:pPr>
        <w:pStyle w:val="18"/>
      </w:pPr>
      <w:r>
        <w:t>（十一）完成县委、县政府和县委机构编制委员会交办的其他任务。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中共曲阳县委机构编制委员会办公室本级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10" w:name="_Toc11083"/>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按照预算管理有关规定，目前部门预算的编制实行综合预算管理，即全部收入和支出都反映在预算中。中共曲阳县委机构编制委员会办公室机关及所属事业单位的收支包含在部门预算中。</w:t>
      </w:r>
    </w:p>
    <w:p>
      <w:pPr>
        <w:pStyle w:val="19"/>
      </w:pPr>
      <w:r>
        <w:t>1、收入说明</w:t>
      </w:r>
    </w:p>
    <w:p>
      <w:pPr>
        <w:pStyle w:val="19"/>
      </w:pPr>
      <w:r>
        <w:t>反映本部门当年全部收入。2025年预算收入133.95万元，其中：一般公共预算收入133.95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曲阳县委机构编制委员会办公室年度部门预算中支出预算的总体情况。2025年支出预算133.95万元，其中基本支出120.95万元，包括人员经费110.03万元和日常公用经费10.92万元；项目支出13.00万元，主要为编办公益岗人员经费、曲阳县编办业务经费、机构编制监督检查项目和机构编制违规违纪违法预防教育项目。</w:t>
      </w:r>
    </w:p>
    <w:p>
      <w:pPr>
        <w:pStyle w:val="19"/>
      </w:pPr>
      <w:r>
        <w:t>3、比上年增减情况</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pPr>
      <w:r>
        <w:t>2025年预算收支安排133.95万元，较2024年预算减少19.46万元，其中：基本支出减少14.56万元，主要为调出一名行政人员，工资、保险等相应经费减少。项目支出减少4.90万元，主要为编办公益岗人员经费减少往年工资支出4.90万元。</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cs="黑体"/>
          <w:color w:val="000000"/>
          <w:sz w:val="32"/>
          <w:szCs w:val="24"/>
          <w:lang w:val="en-US" w:eastAsia="uk-UA" w:bidi="ar-SA"/>
        </w:rPr>
      </w:pPr>
      <w:r>
        <w:rPr>
          <w:rFonts w:ascii="黑体" w:hAnsi="黑体" w:eastAsia="黑体" w:cs="黑体"/>
          <w:color w:val="000000"/>
          <w:sz w:val="32"/>
          <w:szCs w:val="24"/>
          <w:lang w:val="en-US" w:eastAsia="uk-UA" w:bidi="ar-SA"/>
        </w:rPr>
        <w:t>三、机关运行经费安排情况</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pPr>
      <w:r>
        <w:t>2025年，我部门机关运行经费共计安排10.92万元，主要用于日常维修、办公用房水电费、办公用房取暖费、办公用房物业管理费等日常运行支出。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11" w:name="_Toc32006"/>
      <w:r>
        <w:rPr>
          <w:rFonts w:ascii="黑体" w:hAnsi="黑体" w:eastAsia="黑体" w:cs="黑体"/>
          <w:color w:val="000000"/>
          <w:sz w:val="32"/>
        </w:rPr>
        <w:t>四、财政拨款“三公”经费预算情况及增减变化原因</w:t>
      </w:r>
      <w:bookmarkEnd w:id="11"/>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11119"/>
      <w:r>
        <w:rPr>
          <w:rFonts w:ascii="黑体" w:hAnsi="黑体" w:eastAsia="黑体" w:cs="黑体"/>
          <w:color w:val="000000"/>
          <w:sz w:val="32"/>
        </w:rPr>
        <w:t>五、部门整体绩效目标</w:t>
      </w:r>
      <w:bookmarkEnd w:id="12"/>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2025年，中共曲阳县委编办将紧紧围绕市委编办机构编制工作的总体部署，按照县委、县政府工作要求，稳妥有序推进各项重点工作，继续开拓进取，为建设现代化中国雕刻文化名城提供坚强的体制机制保障。一是进一步严格机构编制管理，强化机构编制监督检查，不断提升机构编制资源使用效益。二是做好乡镇履行职责事项清单编制工作，推动基层治理效能不断提升。三是进一步优化事业单位登记管理服务，推进“全事项”、“全流程”网上办理。四是持续推动机关事业单位统一社会信用代码工作，严格执行社会信用代码公示制度。五是做好机构编制违规违纪违法宣传教育工作，强化“编制就是法律”意识。六是做好机构编制实名制工作，维护机构编制的严肃性和时效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w:t>
      </w:r>
      <w:r>
        <w:rPr>
          <w:rFonts w:hint="eastAsia"/>
          <w:lang w:val="en-US" w:eastAsia="zh-CN"/>
        </w:rPr>
        <w:t>5</w:t>
      </w:r>
      <w:r>
        <w:t>年中共曲阳县委编办将按照市委编办要求，县委、县政府统一部署，认真贯彻执行机构编制工作的方针政策，加强机构编制管理，深化机构改革，有序推进全年的各项工作任务，结合机构编制工作实际，重点做好以下几方面工作：</w:t>
      </w:r>
    </w:p>
    <w:p>
      <w:pPr>
        <w:pStyle w:val="23"/>
      </w:pPr>
      <w:r>
        <w:t>1、机构编制管理</w:t>
      </w:r>
    </w:p>
    <w:p>
      <w:pPr>
        <w:pStyle w:val="23"/>
      </w:pPr>
      <w:r>
        <w:t>深入开展机构编制监督检查业务，摸清核准机构编制资源的实际配置情况，指导各单位机构编制政策落实率达到95%。从严从紧控制编制，全力保障各部门用编需求，杜绝超编进人。</w:t>
      </w:r>
    </w:p>
    <w:p>
      <w:pPr>
        <w:pStyle w:val="23"/>
      </w:pPr>
      <w:r>
        <w:t>2、电子政务管理</w:t>
      </w:r>
    </w:p>
    <w:p>
      <w:pPr>
        <w:pStyle w:val="23"/>
      </w:pPr>
      <w:r>
        <w:t>继续深入加强河北省机关事业单位人事管理“一网通办”平台管理，当年新招录、调动人员入编业务办理率达到100%。扎实做好党政群机关和事业单位网上名称管理、专用中文域名注册等工作，中文域名单位续费数达到200个。</w:t>
      </w:r>
    </w:p>
    <w:p>
      <w:pPr>
        <w:pStyle w:val="23"/>
      </w:pPr>
      <w:r>
        <w:t>3、履职事项清单编制</w:t>
      </w:r>
    </w:p>
    <w:p>
      <w:pPr>
        <w:pStyle w:val="23"/>
      </w:pPr>
      <w:r>
        <w:t>按照省、市统一安排部署，全面开展乡镇履职事项清单编制工作，提高基层治理效率，切实为基层减负。</w:t>
      </w:r>
    </w:p>
    <w:p>
      <w:pPr>
        <w:pStyle w:val="23"/>
      </w:pPr>
      <w:r>
        <w:t>4.编办事务管理</w:t>
      </w:r>
    </w:p>
    <w:p>
      <w:pPr>
        <w:pStyle w:val="23"/>
      </w:pPr>
      <w:r>
        <w:t>做好事业单位登记和统一社会信用代码管理，严格按照受理、审查、核准的工作程序，办理设立、注销、法人代表变更、年度报告公示等业务，业务及时受理率达到99%，事业单位法人公示抽查率达到4%。</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1、深入调查研究，准确掌握机构编制现状。对各单位的机构、职能、编制和实有人员等状况进行详细摸底，准确掌握各单位的基本情况及存在的问题。</w:t>
      </w:r>
    </w:p>
    <w:p>
      <w:pPr>
        <w:pStyle w:val="24"/>
      </w:pPr>
      <w:r>
        <w:t>2、加强组织管理，强化督导检查。通过对机构编制调整执行情况进行监督检查，扎实有效地推动机构编制各项工作落实到位。</w:t>
      </w:r>
    </w:p>
    <w:p>
      <w:pPr>
        <w:pStyle w:val="24"/>
        <w:sectPr>
          <w:pgSz w:w="16840" w:h="11900" w:orient="landscape"/>
          <w:pgMar w:top="1361" w:right="1020" w:bottom="1361" w:left="1020" w:header="720" w:footer="720" w:gutter="0"/>
        </w:sectPr>
      </w:pPr>
      <w:r>
        <w:t>3、强化自身建设，不断提高政治能力和业务素质。以开展主题教育为契机，进一步提升干部政治素养。持续学习先进地区体制改革和编制管理经验做法，加强机构编制业务培训，提升干部业务能力。</w:t>
      </w:r>
    </w:p>
    <w:p>
      <w:pPr>
        <w:spacing w:before="10" w:after="10" w:line="360" w:lineRule="auto"/>
        <w:ind w:firstLine="640"/>
        <w:jc w:val="left"/>
        <w:outlineLvl w:val="2"/>
        <w:rPr>
          <w:rFonts w:ascii="黑体" w:hAnsi="黑体" w:eastAsia="黑体" w:cs="黑体"/>
          <w:color w:val="000000"/>
          <w:sz w:val="32"/>
        </w:rPr>
      </w:pPr>
      <w:bookmarkStart w:id="13" w:name="_Toc24274"/>
      <w:bookmarkStart w:id="14" w:name="_Toc_3_3_0000000015"/>
      <w:r>
        <w:rPr>
          <w:rFonts w:ascii="黑体" w:hAnsi="黑体" w:eastAsia="黑体" w:cs="黑体"/>
          <w:color w:val="000000"/>
          <w:sz w:val="32"/>
        </w:rPr>
        <w:t>六、部门主管专项资金预算安排情况及绩效目标</w:t>
      </w:r>
      <w:bookmarkEnd w:id="13"/>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5" w:name="_Toc19586"/>
      <w:r>
        <w:rPr>
          <w:rFonts w:hint="eastAsia" w:ascii="Times New Roman" w:hAnsi="Times New Roman" w:eastAsia="方正仿宋_GBK" w:cs="Times New Roman"/>
          <w:sz w:val="28"/>
          <w:szCs w:val="24"/>
          <w:lang w:val="en-US" w:eastAsia="zh-CN" w:bidi="ar-SA"/>
        </w:rPr>
        <w:t>无</w:t>
      </w:r>
      <w:bookmarkEnd w:id="15"/>
    </w:p>
    <w:p>
      <w:pPr>
        <w:spacing w:before="10" w:after="10" w:line="360" w:lineRule="auto"/>
        <w:ind w:firstLine="640"/>
        <w:jc w:val="left"/>
        <w:outlineLvl w:val="2"/>
        <w:sectPr>
          <w:pgSz w:w="16840" w:h="11900" w:orient="landscape"/>
          <w:pgMar w:top="1361" w:right="1020" w:bottom="1134" w:left="1020" w:header="720" w:footer="720" w:gutter="0"/>
        </w:sectPr>
      </w:pPr>
      <w:bookmarkStart w:id="16" w:name="_Toc24792"/>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1、编办公益岗人员经费绩效目标表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13063425P004C4910306D</w:t>
            </w:r>
          </w:p>
        </w:tc>
        <w:tc>
          <w:tcPr>
            <w:tcW w:w="2835" w:type="dxa"/>
            <w:vAlign w:val="center"/>
          </w:tcPr>
          <w:p>
            <w:pPr>
              <w:pStyle w:val="11"/>
            </w:pPr>
            <w:r>
              <w:t>项目名称</w:t>
            </w:r>
          </w:p>
        </w:tc>
        <w:tc>
          <w:tcPr>
            <w:tcW w:w="6095" w:type="dxa"/>
            <w:gridSpan w:val="3"/>
            <w:vAlign w:val="center"/>
          </w:tcPr>
          <w:p>
            <w:pPr>
              <w:pStyle w:val="13"/>
            </w:pPr>
            <w:r>
              <w:t>编办公益岗人员经费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项目预算3.619万元，其中一般公共预算3.619万元，主要用于公益岗人员的工资、保险及补贴，按月发放资金。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0.91</w:t>
            </w:r>
          </w:p>
        </w:tc>
        <w:tc>
          <w:tcPr>
            <w:tcW w:w="2835" w:type="dxa"/>
            <w:vAlign w:val="center"/>
          </w:tcPr>
          <w:p>
            <w:pPr>
              <w:pStyle w:val="14"/>
            </w:pPr>
            <w:r>
              <w:t>1.81</w:t>
            </w:r>
          </w:p>
        </w:tc>
        <w:tc>
          <w:tcPr>
            <w:tcW w:w="2551" w:type="dxa"/>
            <w:vAlign w:val="center"/>
          </w:tcPr>
          <w:p>
            <w:pPr>
              <w:pStyle w:val="14"/>
            </w:pPr>
            <w:r>
              <w:t>2.72</w:t>
            </w:r>
          </w:p>
        </w:tc>
        <w:tc>
          <w:tcPr>
            <w:tcW w:w="3544" w:type="dxa"/>
            <w:gridSpan w:val="2"/>
            <w:vAlign w:val="center"/>
          </w:tcPr>
          <w:p>
            <w:pPr>
              <w:pStyle w:val="14"/>
            </w:pPr>
            <w:r>
              <w:t>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1.通过按月发放退役军人公益岗的工资补贴，为涉军公益岗人员生活提供保障。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公益岗补贴发放时间</w:t>
            </w:r>
          </w:p>
        </w:tc>
        <w:tc>
          <w:tcPr>
            <w:tcW w:w="5386" w:type="dxa"/>
            <w:vAlign w:val="center"/>
          </w:tcPr>
          <w:p>
            <w:pPr>
              <w:pStyle w:val="13"/>
            </w:pPr>
            <w:r>
              <w:t>公益岗补贴发放时间</w:t>
            </w:r>
          </w:p>
        </w:tc>
        <w:tc>
          <w:tcPr>
            <w:tcW w:w="2268" w:type="dxa"/>
            <w:vAlign w:val="center"/>
          </w:tcPr>
          <w:p>
            <w:pPr>
              <w:pStyle w:val="13"/>
            </w:pPr>
            <w:r>
              <w:t>每月25号之前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公益岗工资月均成本</w:t>
            </w:r>
          </w:p>
        </w:tc>
        <w:tc>
          <w:tcPr>
            <w:tcW w:w="5386" w:type="dxa"/>
            <w:vAlign w:val="center"/>
          </w:tcPr>
          <w:p>
            <w:pPr>
              <w:pStyle w:val="13"/>
            </w:pPr>
            <w:r>
              <w:t>公益岗工资月均成本</w:t>
            </w:r>
          </w:p>
        </w:tc>
        <w:tc>
          <w:tcPr>
            <w:tcW w:w="2268" w:type="dxa"/>
            <w:vAlign w:val="center"/>
          </w:tcPr>
          <w:p>
            <w:pPr>
              <w:pStyle w:val="13"/>
            </w:pPr>
            <w:r>
              <w:t>1800元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2、机构编制监督检查项目绩效目标表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13063425P00D80910004M</w:t>
            </w:r>
          </w:p>
        </w:tc>
        <w:tc>
          <w:tcPr>
            <w:tcW w:w="2835" w:type="dxa"/>
            <w:vAlign w:val="center"/>
          </w:tcPr>
          <w:p>
            <w:pPr>
              <w:pStyle w:val="11"/>
            </w:pPr>
            <w:r>
              <w:t>项目名称</w:t>
            </w:r>
          </w:p>
        </w:tc>
        <w:tc>
          <w:tcPr>
            <w:tcW w:w="6095" w:type="dxa"/>
            <w:gridSpan w:val="3"/>
            <w:vAlign w:val="center"/>
          </w:tcPr>
          <w:p>
            <w:pPr>
              <w:pStyle w:val="13"/>
            </w:pPr>
            <w:r>
              <w:t>机构编制监督检查项目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w:t>
            </w:r>
          </w:p>
        </w:tc>
        <w:tc>
          <w:tcPr>
            <w:tcW w:w="2835" w:type="dxa"/>
            <w:vAlign w:val="center"/>
          </w:tcPr>
          <w:p>
            <w:pPr>
              <w:pStyle w:val="11"/>
            </w:pPr>
            <w:r>
              <w:t>其中：财政资金</w:t>
            </w:r>
          </w:p>
        </w:tc>
        <w:tc>
          <w:tcPr>
            <w:tcW w:w="2551" w:type="dxa"/>
            <w:vAlign w:val="center"/>
          </w:tcPr>
          <w:p>
            <w:pPr>
              <w:pStyle w:val="13"/>
            </w:pPr>
            <w:r>
              <w:t>1.49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项目预算14900元，其中一般公共预算14900元，主要用于机构编制监督检查所需资料印刷等，按实际需求拨付资金。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0.70</w:t>
            </w:r>
          </w:p>
        </w:tc>
        <w:tc>
          <w:tcPr>
            <w:tcW w:w="3544" w:type="dxa"/>
            <w:gridSpan w:val="2"/>
            <w:vAlign w:val="center"/>
          </w:tcPr>
          <w:p>
            <w:pPr>
              <w:pStyle w:val="14"/>
            </w:pPr>
            <w:r>
              <w:t>1.49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1.通过对全县各单位机构编制事项的检查，监督各单位机构编制政策落实，指导机构编制批复方案执行。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印刷资料数量</w:t>
            </w:r>
          </w:p>
        </w:tc>
        <w:tc>
          <w:tcPr>
            <w:tcW w:w="5386" w:type="dxa"/>
            <w:vAlign w:val="center"/>
          </w:tcPr>
          <w:p>
            <w:pPr>
              <w:pStyle w:val="13"/>
            </w:pPr>
            <w:r>
              <w:t>印刷资料数量</w:t>
            </w:r>
          </w:p>
        </w:tc>
        <w:tc>
          <w:tcPr>
            <w:tcW w:w="2268" w:type="dxa"/>
            <w:vAlign w:val="center"/>
          </w:tcPr>
          <w:p>
            <w:pPr>
              <w:pStyle w:val="13"/>
            </w:pPr>
            <w:r>
              <w:t>≥300份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监督检查工作完成率</w:t>
            </w:r>
          </w:p>
        </w:tc>
        <w:tc>
          <w:tcPr>
            <w:tcW w:w="5386" w:type="dxa"/>
            <w:vAlign w:val="center"/>
          </w:tcPr>
          <w:p>
            <w:pPr>
              <w:pStyle w:val="13"/>
            </w:pPr>
            <w:r>
              <w:t>监督检查工作完成率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监督检查工作完成时间</w:t>
            </w:r>
          </w:p>
        </w:tc>
        <w:tc>
          <w:tcPr>
            <w:tcW w:w="5386" w:type="dxa"/>
            <w:vAlign w:val="center"/>
          </w:tcPr>
          <w:p>
            <w:pPr>
              <w:pStyle w:val="13"/>
            </w:pPr>
            <w:r>
              <w:t>监督检查工作完成时间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资料单套成本</w:t>
            </w:r>
          </w:p>
        </w:tc>
        <w:tc>
          <w:tcPr>
            <w:tcW w:w="5386" w:type="dxa"/>
            <w:vAlign w:val="center"/>
          </w:tcPr>
          <w:p>
            <w:pPr>
              <w:pStyle w:val="13"/>
            </w:pPr>
            <w:r>
              <w:t>印刷资料单份成本</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机构编制政策落实率</w:t>
            </w:r>
          </w:p>
        </w:tc>
        <w:tc>
          <w:tcPr>
            <w:tcW w:w="5386" w:type="dxa"/>
            <w:vAlign w:val="center"/>
          </w:tcPr>
          <w:p>
            <w:pPr>
              <w:pStyle w:val="13"/>
            </w:pPr>
            <w:r>
              <w:t>各单位机构编制政策落实率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3、机构编制违规违纪违法预防宣传教育绩效目标表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13063425P00D7EY10003N</w:t>
            </w:r>
          </w:p>
        </w:tc>
        <w:tc>
          <w:tcPr>
            <w:tcW w:w="2835" w:type="dxa"/>
            <w:vAlign w:val="center"/>
          </w:tcPr>
          <w:p>
            <w:pPr>
              <w:pStyle w:val="11"/>
            </w:pPr>
            <w:r>
              <w:t>项目名称</w:t>
            </w:r>
          </w:p>
        </w:tc>
        <w:tc>
          <w:tcPr>
            <w:tcW w:w="6095" w:type="dxa"/>
            <w:gridSpan w:val="3"/>
            <w:vAlign w:val="center"/>
          </w:tcPr>
          <w:p>
            <w:pPr>
              <w:pStyle w:val="13"/>
            </w:pPr>
            <w:r>
              <w:t>机构编制违规违纪违法预防宣传教育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w:t>
            </w:r>
          </w:p>
        </w:tc>
        <w:tc>
          <w:tcPr>
            <w:tcW w:w="2835" w:type="dxa"/>
            <w:vAlign w:val="center"/>
          </w:tcPr>
          <w:p>
            <w:pPr>
              <w:pStyle w:val="11"/>
            </w:pPr>
            <w:r>
              <w:t>其中：财政资金</w:t>
            </w:r>
          </w:p>
        </w:tc>
        <w:tc>
          <w:tcPr>
            <w:tcW w:w="2551" w:type="dxa"/>
            <w:vAlign w:val="center"/>
          </w:tcPr>
          <w:p>
            <w:pPr>
              <w:pStyle w:val="13"/>
            </w:pPr>
            <w:r>
              <w:t>1.89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项目预算18900元，其中一般公共预算18900元，主要用于制作开展机构编制纪律宣传教育所用资料，按实际需求拨付资金。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0.89</w:t>
            </w:r>
          </w:p>
        </w:tc>
        <w:tc>
          <w:tcPr>
            <w:tcW w:w="2551" w:type="dxa"/>
            <w:vAlign w:val="center"/>
          </w:tcPr>
          <w:p>
            <w:pPr>
              <w:pStyle w:val="14"/>
            </w:pPr>
            <w:r>
              <w:t>1.20</w:t>
            </w:r>
          </w:p>
        </w:tc>
        <w:tc>
          <w:tcPr>
            <w:tcW w:w="3544" w:type="dxa"/>
            <w:gridSpan w:val="2"/>
            <w:vAlign w:val="center"/>
          </w:tcPr>
          <w:p>
            <w:pPr>
              <w:pStyle w:val="14"/>
            </w:pPr>
            <w:r>
              <w:t>1.89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1.通过开展机构编制纪律宣传教育，强化机构编制法制意识，维护机构编制纪律的严肃性权威性。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宣传资料数量</w:t>
            </w:r>
          </w:p>
        </w:tc>
        <w:tc>
          <w:tcPr>
            <w:tcW w:w="5386" w:type="dxa"/>
            <w:vAlign w:val="center"/>
          </w:tcPr>
          <w:p>
            <w:pPr>
              <w:pStyle w:val="13"/>
            </w:pPr>
            <w:r>
              <w:t>宣传资料数量</w:t>
            </w:r>
          </w:p>
        </w:tc>
        <w:tc>
          <w:tcPr>
            <w:tcW w:w="2268" w:type="dxa"/>
            <w:vAlign w:val="center"/>
          </w:tcPr>
          <w:p>
            <w:pPr>
              <w:pStyle w:val="13"/>
            </w:pPr>
            <w:r>
              <w:t>≥3000份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制作宣传资料质量</w:t>
            </w:r>
          </w:p>
        </w:tc>
        <w:tc>
          <w:tcPr>
            <w:tcW w:w="5386" w:type="dxa"/>
            <w:vAlign w:val="center"/>
          </w:tcPr>
          <w:p>
            <w:pPr>
              <w:pStyle w:val="13"/>
            </w:pPr>
            <w:r>
              <w:t>制作宣传资料质量</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宣传教育活动完成时间</w:t>
            </w:r>
          </w:p>
        </w:tc>
        <w:tc>
          <w:tcPr>
            <w:tcW w:w="5386" w:type="dxa"/>
            <w:vAlign w:val="center"/>
          </w:tcPr>
          <w:p>
            <w:pPr>
              <w:pStyle w:val="13"/>
            </w:pPr>
            <w:r>
              <w:t>宣传教育活动完成时间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单份资料印刷成本</w:t>
            </w:r>
          </w:p>
        </w:tc>
        <w:tc>
          <w:tcPr>
            <w:tcW w:w="5386" w:type="dxa"/>
            <w:vAlign w:val="center"/>
          </w:tcPr>
          <w:p>
            <w:pPr>
              <w:pStyle w:val="13"/>
            </w:pPr>
            <w:r>
              <w:t>单份资料印刷成本</w:t>
            </w:r>
          </w:p>
        </w:tc>
        <w:tc>
          <w:tcPr>
            <w:tcW w:w="2268" w:type="dxa"/>
            <w:vAlign w:val="center"/>
          </w:tcPr>
          <w:p>
            <w:pPr>
              <w:pStyle w:val="13"/>
            </w:pPr>
            <w:r>
              <w:t>≤15元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机构编制违规事件发生率</w:t>
            </w:r>
          </w:p>
        </w:tc>
        <w:tc>
          <w:tcPr>
            <w:tcW w:w="5386" w:type="dxa"/>
            <w:vAlign w:val="center"/>
          </w:tcPr>
          <w:p>
            <w:pPr>
              <w:pStyle w:val="13"/>
            </w:pPr>
            <w:r>
              <w:t>机构编制违规事件发生率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4、曲阳县编办业务经费绩效目标表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13063425P00399010002A</w:t>
            </w:r>
          </w:p>
        </w:tc>
        <w:tc>
          <w:tcPr>
            <w:tcW w:w="2835" w:type="dxa"/>
            <w:vAlign w:val="center"/>
          </w:tcPr>
          <w:p>
            <w:pPr>
              <w:pStyle w:val="11"/>
            </w:pPr>
            <w:r>
              <w:t>项目名称</w:t>
            </w:r>
          </w:p>
        </w:tc>
        <w:tc>
          <w:tcPr>
            <w:tcW w:w="6095" w:type="dxa"/>
            <w:gridSpan w:val="3"/>
            <w:vAlign w:val="center"/>
          </w:tcPr>
          <w:p>
            <w:pPr>
              <w:pStyle w:val="13"/>
            </w:pPr>
            <w:r>
              <w:t>曲阳县编办业务经费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项目预算6万元，其中一般公共预算6万元，主要用于购置办公家具及保障日常办公运转等，按实际需求拨付资金。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1.保障编办专项经费供给，顺利完成乡镇履职事项清单编制、事业单位改革、编办日常运转等各项工作。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建立清单的乡镇数量</w:t>
            </w:r>
          </w:p>
        </w:tc>
        <w:tc>
          <w:tcPr>
            <w:tcW w:w="5386" w:type="dxa"/>
            <w:vAlign w:val="center"/>
          </w:tcPr>
          <w:p>
            <w:pPr>
              <w:pStyle w:val="13"/>
            </w:pPr>
            <w:r>
              <w:t>建立履行职责事项清单的乡镇数量</w:t>
            </w:r>
          </w:p>
        </w:tc>
        <w:tc>
          <w:tcPr>
            <w:tcW w:w="2268" w:type="dxa"/>
            <w:vAlign w:val="center"/>
          </w:tcPr>
          <w:p>
            <w:pPr>
              <w:pStyle w:val="13"/>
            </w:pPr>
            <w:r>
              <w:t>18个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办公家具验收通过率</w:t>
            </w:r>
          </w:p>
        </w:tc>
        <w:tc>
          <w:tcPr>
            <w:tcW w:w="5386" w:type="dxa"/>
            <w:vAlign w:val="center"/>
          </w:tcPr>
          <w:p>
            <w:pPr>
              <w:pStyle w:val="13"/>
            </w:pPr>
            <w:r>
              <w:t>购买的办公家具验收通过率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事项清单建立完成时间</w:t>
            </w:r>
          </w:p>
        </w:tc>
        <w:tc>
          <w:tcPr>
            <w:tcW w:w="5386" w:type="dxa"/>
            <w:vAlign w:val="center"/>
          </w:tcPr>
          <w:p>
            <w:pPr>
              <w:pStyle w:val="13"/>
            </w:pPr>
            <w:r>
              <w:t>所有乡镇履行职责事项清单建立完成时间</w:t>
            </w:r>
          </w:p>
        </w:tc>
        <w:tc>
          <w:tcPr>
            <w:tcW w:w="2268" w:type="dxa"/>
            <w:vAlign w:val="center"/>
          </w:tcPr>
          <w:p>
            <w:pPr>
              <w:pStyle w:val="13"/>
            </w:pPr>
            <w:r>
              <w:t>2025年7月底前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复印纸单箱成本</w:t>
            </w:r>
          </w:p>
        </w:tc>
        <w:tc>
          <w:tcPr>
            <w:tcW w:w="5386" w:type="dxa"/>
            <w:vAlign w:val="center"/>
          </w:tcPr>
          <w:p>
            <w:pPr>
              <w:pStyle w:val="13"/>
            </w:pPr>
            <w:r>
              <w:t>复印纸单箱成本</w:t>
            </w:r>
          </w:p>
        </w:tc>
        <w:tc>
          <w:tcPr>
            <w:tcW w:w="2268" w:type="dxa"/>
            <w:vAlign w:val="center"/>
          </w:tcPr>
          <w:p>
            <w:pPr>
              <w:pStyle w:val="13"/>
            </w:pPr>
            <w:r>
              <w:t>≤250元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机构编制各项工作完成情况</w:t>
            </w:r>
          </w:p>
        </w:tc>
        <w:tc>
          <w:tcPr>
            <w:tcW w:w="5386" w:type="dxa"/>
            <w:vAlign w:val="center"/>
          </w:tcPr>
          <w:p>
            <w:pPr>
              <w:pStyle w:val="13"/>
            </w:pPr>
            <w:r>
              <w:t>机构编制各项工作完成情况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7" w:name="_Toc27859"/>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4.83</w:t>
            </w:r>
          </w:p>
        </w:tc>
        <w:tc>
          <w:tcPr>
            <w:tcW w:w="964" w:type="dxa"/>
            <w:vAlign w:val="center"/>
          </w:tcPr>
          <w:p>
            <w:pPr>
              <w:pStyle w:val="16"/>
            </w:pPr>
            <w:r>
              <w:t>4.83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中共曲阳县委机构编制委员会办公室本级小计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4.83</w:t>
            </w:r>
          </w:p>
        </w:tc>
        <w:tc>
          <w:tcPr>
            <w:tcW w:w="964" w:type="dxa"/>
            <w:vAlign w:val="center"/>
          </w:tcPr>
          <w:p>
            <w:pPr>
              <w:pStyle w:val="16"/>
            </w:pPr>
            <w:r>
              <w:t>4.83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2.90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w:t>
            </w:r>
          </w:p>
        </w:tc>
        <w:tc>
          <w:tcPr>
            <w:tcW w:w="850" w:type="dxa"/>
            <w:vAlign w:val="center"/>
          </w:tcPr>
          <w:p>
            <w:pPr>
              <w:pStyle w:val="12"/>
            </w:pPr>
            <w:r>
              <w:t>0.02</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2.90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2.90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0.60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机构编制监督检查项目</w:t>
            </w:r>
          </w:p>
        </w:tc>
        <w:tc>
          <w:tcPr>
            <w:tcW w:w="964" w:type="dxa"/>
            <w:vAlign w:val="center"/>
          </w:tcPr>
          <w:p>
            <w:pPr>
              <w:pStyle w:val="12"/>
            </w:pPr>
            <w:r>
              <w:t>1.49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机构编制违规违纪违法预防宣传教育</w:t>
            </w:r>
          </w:p>
        </w:tc>
        <w:tc>
          <w:tcPr>
            <w:tcW w:w="964" w:type="dxa"/>
            <w:vAlign w:val="center"/>
          </w:tcPr>
          <w:p>
            <w:pPr>
              <w:pStyle w:val="12"/>
            </w:pPr>
            <w:r>
              <w:t>1.89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0.62</w:t>
            </w:r>
          </w:p>
        </w:tc>
        <w:tc>
          <w:tcPr>
            <w:tcW w:w="964" w:type="dxa"/>
            <w:vAlign w:val="center"/>
          </w:tcPr>
          <w:p>
            <w:pPr>
              <w:pStyle w:val="12"/>
            </w:pPr>
            <w:r>
              <w:t>0.62</w:t>
            </w:r>
          </w:p>
        </w:tc>
        <w:tc>
          <w:tcPr>
            <w:tcW w:w="964" w:type="dxa"/>
            <w:vAlign w:val="center"/>
          </w:tcPr>
          <w:p>
            <w:pPr>
              <w:pStyle w:val="12"/>
            </w:pPr>
            <w:r>
              <w:t>0.62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组</w:t>
            </w:r>
          </w:p>
        </w:tc>
        <w:tc>
          <w:tcPr>
            <w:tcW w:w="850" w:type="dxa"/>
            <w:vAlign w:val="center"/>
          </w:tcPr>
          <w:p>
            <w:pPr>
              <w:pStyle w:val="12"/>
            </w:pPr>
            <w:r>
              <w:t>1</w:t>
            </w:r>
          </w:p>
        </w:tc>
        <w:tc>
          <w:tcPr>
            <w:tcW w:w="850" w:type="dxa"/>
            <w:vAlign w:val="center"/>
          </w:tcPr>
          <w:p>
            <w:pPr>
              <w:pStyle w:val="12"/>
            </w:pPr>
            <w:r>
              <w:t>0.21</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茶几</w:t>
            </w:r>
          </w:p>
        </w:tc>
        <w:tc>
          <w:tcPr>
            <w:tcW w:w="1134" w:type="dxa"/>
            <w:vAlign w:val="center"/>
          </w:tcPr>
          <w:p>
            <w:pPr>
              <w:pStyle w:val="13"/>
            </w:pPr>
            <w:r>
              <w:t>A05010204</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0.06</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0.09</w:t>
            </w:r>
          </w:p>
        </w:tc>
        <w:tc>
          <w:tcPr>
            <w:tcW w:w="964" w:type="dxa"/>
            <w:vAlign w:val="center"/>
          </w:tcPr>
          <w:p>
            <w:pPr>
              <w:pStyle w:val="12"/>
            </w:pPr>
            <w:r>
              <w:t>0.09</w:t>
            </w:r>
          </w:p>
        </w:tc>
        <w:tc>
          <w:tcPr>
            <w:tcW w:w="964" w:type="dxa"/>
            <w:vAlign w:val="center"/>
          </w:tcPr>
          <w:p>
            <w:pPr>
              <w:pStyle w:val="12"/>
            </w:pPr>
            <w:r>
              <w:t>0.09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曲阳县编办业务经费</w:t>
            </w:r>
          </w:p>
        </w:tc>
        <w:tc>
          <w:tcPr>
            <w:tcW w:w="964" w:type="dxa"/>
            <w:vAlign w:val="center"/>
          </w:tcPr>
          <w:p>
            <w:pPr>
              <w:pStyle w:val="12"/>
            </w:pPr>
            <w:r>
              <w:t>6.00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2654"/>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中共曲阳县委机构编制委员会办公室（含所属单位）上年末固定资产金额为18.49万元（详见下表）。本年度拟购置固定资产总额为0.55万元，已按要求列入政府采购预算，详见政府采购预算表。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225中共曲阳县委机构编制委员会办公室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28</w:t>
            </w:r>
          </w:p>
        </w:tc>
        <w:tc>
          <w:tcPr>
            <w:tcW w:w="2835" w:type="dxa"/>
            <w:vAlign w:val="center"/>
          </w:tcPr>
          <w:p>
            <w:pPr>
              <w:pStyle w:val="12"/>
            </w:pPr>
            <w:r>
              <w:t>9.69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22522"/>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31832"/>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F7C06"/>
    <w:rsid w:val="2F075B59"/>
    <w:rsid w:val="5A234B5F"/>
    <w:rsid w:val="68B26704"/>
    <w:rsid w:val="7E7163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2025-02-06T15:26:00Z</dcterms:created>
  <dc:creator>Administrator</dc:creator>
  <cp:lastModifiedBy>6665</cp:lastModifiedBy>
  <dcterms:modified xsi:type="dcterms:W3CDTF">2025-02-18T09:42:37Z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