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六、部门项目预算安排情况及绩效目标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七、政府采购预算情况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八、国有资产信息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九、名词解释</w:t>
      </w:r>
      <w:r>
        <w:tab/>
      </w:r>
      <w:r>
        <w:fldChar w:fldCharType="begin"/>
      </w:r>
      <w:r>
        <w:instrText xml:space="preserve">PAGEREF _Toc_3_3_0000000019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375.20</w:t>
            </w:r>
          </w:p>
        </w:tc>
        <w:tc>
          <w:tcPr>
            <w:tcW w:w="4535" w:type="dxa"/>
            <w:vAlign w:val="center"/>
          </w:tcPr>
          <w:p>
            <w:pPr>
              <w:pStyle w:val="12"/>
            </w:pPr>
            <w:r>
              <w:t>一、一般公共服务支出</w:t>
            </w:r>
          </w:p>
        </w:tc>
        <w:tc>
          <w:tcPr>
            <w:tcW w:w="2126" w:type="dxa"/>
            <w:vAlign w:val="center"/>
          </w:tcPr>
          <w:p>
            <w:pPr>
              <w:pStyle w:val="11"/>
            </w:pPr>
            <w:r>
              <w:t>275.12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375.20</w:t>
            </w:r>
          </w:p>
        </w:tc>
        <w:tc>
          <w:tcPr>
            <w:tcW w:w="4535" w:type="dxa"/>
            <w:vAlign w:val="center"/>
          </w:tcPr>
          <w:p>
            <w:pPr>
              <w:pStyle w:val="14"/>
            </w:pPr>
            <w:r>
              <w:t>本年支出合计</w:t>
            </w:r>
          </w:p>
        </w:tc>
        <w:tc>
          <w:tcPr>
            <w:tcW w:w="2126" w:type="dxa"/>
            <w:vAlign w:val="center"/>
          </w:tcPr>
          <w:p>
            <w:pPr>
              <w:pStyle w:val="15"/>
            </w:pPr>
            <w:r>
              <w:t>375.20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375.20</w:t>
            </w:r>
          </w:p>
        </w:tc>
        <w:tc>
          <w:tcPr>
            <w:tcW w:w="4535" w:type="dxa"/>
            <w:vAlign w:val="center"/>
          </w:tcPr>
          <w:p>
            <w:pPr>
              <w:pStyle w:val="14"/>
            </w:pPr>
            <w:r>
              <w:t>支出总计</w:t>
            </w:r>
          </w:p>
        </w:tc>
        <w:tc>
          <w:tcPr>
            <w:tcW w:w="2126" w:type="dxa"/>
            <w:vAlign w:val="center"/>
          </w:tcPr>
          <w:p>
            <w:pPr>
              <w:pStyle w:val="15"/>
            </w:pPr>
            <w:r>
              <w:t>375.20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375.20</w:t>
            </w:r>
          </w:p>
        </w:tc>
        <w:tc>
          <w:tcPr>
            <w:tcW w:w="1134" w:type="dxa"/>
            <w:vAlign w:val="center"/>
          </w:tcPr>
          <w:p>
            <w:pPr>
              <w:pStyle w:val="15"/>
            </w:pPr>
            <w:r>
              <w:t>375.20</w:t>
            </w:r>
          </w:p>
        </w:tc>
        <w:tc>
          <w:tcPr>
            <w:tcW w:w="1134" w:type="dxa"/>
            <w:vAlign w:val="center"/>
          </w:tcPr>
          <w:p>
            <w:pPr>
              <w:pStyle w:val="15"/>
            </w:pPr>
            <w:r>
              <w:t>375.20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275.12</w:t>
            </w:r>
          </w:p>
        </w:tc>
        <w:tc>
          <w:tcPr>
            <w:tcW w:w="1134" w:type="dxa"/>
            <w:vAlign w:val="center"/>
          </w:tcPr>
          <w:p>
            <w:pPr>
              <w:pStyle w:val="11"/>
            </w:pPr>
            <w:r>
              <w:t>275.12</w:t>
            </w:r>
          </w:p>
        </w:tc>
        <w:tc>
          <w:tcPr>
            <w:tcW w:w="1134" w:type="dxa"/>
            <w:vAlign w:val="center"/>
          </w:tcPr>
          <w:p>
            <w:pPr>
              <w:pStyle w:val="11"/>
            </w:pPr>
            <w:r>
              <w:t>275.12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20102</w:t>
            </w:r>
          </w:p>
        </w:tc>
        <w:tc>
          <w:tcPr>
            <w:tcW w:w="1559" w:type="dxa"/>
            <w:vAlign w:val="center"/>
          </w:tcPr>
          <w:p>
            <w:pPr>
              <w:pStyle w:val="12"/>
            </w:pPr>
            <w:r>
              <w:t>政协事务</w:t>
            </w:r>
          </w:p>
        </w:tc>
        <w:tc>
          <w:tcPr>
            <w:tcW w:w="1134" w:type="dxa"/>
            <w:vAlign w:val="center"/>
          </w:tcPr>
          <w:p>
            <w:pPr>
              <w:pStyle w:val="11"/>
            </w:pPr>
            <w:r>
              <w:t>275.12</w:t>
            </w:r>
          </w:p>
        </w:tc>
        <w:tc>
          <w:tcPr>
            <w:tcW w:w="1134" w:type="dxa"/>
            <w:vAlign w:val="center"/>
          </w:tcPr>
          <w:p>
            <w:pPr>
              <w:pStyle w:val="11"/>
            </w:pPr>
            <w:r>
              <w:t>275.12</w:t>
            </w:r>
          </w:p>
        </w:tc>
        <w:tc>
          <w:tcPr>
            <w:tcW w:w="1134" w:type="dxa"/>
            <w:vAlign w:val="center"/>
          </w:tcPr>
          <w:p>
            <w:pPr>
              <w:pStyle w:val="11"/>
            </w:pPr>
            <w:r>
              <w:t>275.12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2010201</w:t>
            </w:r>
          </w:p>
        </w:tc>
        <w:tc>
          <w:tcPr>
            <w:tcW w:w="1559" w:type="dxa"/>
            <w:vAlign w:val="center"/>
          </w:tcPr>
          <w:p>
            <w:pPr>
              <w:pStyle w:val="12"/>
            </w:pPr>
            <w:r>
              <w:t>行政运行</w:t>
            </w:r>
          </w:p>
        </w:tc>
        <w:tc>
          <w:tcPr>
            <w:tcW w:w="1134" w:type="dxa"/>
            <w:vAlign w:val="center"/>
          </w:tcPr>
          <w:p>
            <w:pPr>
              <w:pStyle w:val="11"/>
            </w:pPr>
            <w:r>
              <w:t>218.12</w:t>
            </w:r>
          </w:p>
        </w:tc>
        <w:tc>
          <w:tcPr>
            <w:tcW w:w="1134" w:type="dxa"/>
            <w:vAlign w:val="center"/>
          </w:tcPr>
          <w:p>
            <w:pPr>
              <w:pStyle w:val="11"/>
            </w:pPr>
            <w:r>
              <w:t>218.12</w:t>
            </w:r>
          </w:p>
        </w:tc>
        <w:tc>
          <w:tcPr>
            <w:tcW w:w="1134" w:type="dxa"/>
            <w:vAlign w:val="center"/>
          </w:tcPr>
          <w:p>
            <w:pPr>
              <w:pStyle w:val="11"/>
            </w:pPr>
            <w:r>
              <w:t>218.12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2010202</w:t>
            </w:r>
          </w:p>
        </w:tc>
        <w:tc>
          <w:tcPr>
            <w:tcW w:w="1559" w:type="dxa"/>
            <w:vAlign w:val="center"/>
          </w:tcPr>
          <w:p>
            <w:pPr>
              <w:pStyle w:val="12"/>
            </w:pPr>
            <w:r>
              <w:t>一般行政管理事务</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2010204</w:t>
            </w:r>
          </w:p>
        </w:tc>
        <w:tc>
          <w:tcPr>
            <w:tcW w:w="1559" w:type="dxa"/>
            <w:vAlign w:val="center"/>
          </w:tcPr>
          <w:p>
            <w:pPr>
              <w:pStyle w:val="12"/>
            </w:pPr>
            <w:r>
              <w:t>政协会议</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68.44</w:t>
            </w:r>
          </w:p>
        </w:tc>
        <w:tc>
          <w:tcPr>
            <w:tcW w:w="1134" w:type="dxa"/>
            <w:vAlign w:val="center"/>
          </w:tcPr>
          <w:p>
            <w:pPr>
              <w:pStyle w:val="11"/>
            </w:pPr>
            <w:r>
              <w:t>68.44</w:t>
            </w:r>
          </w:p>
        </w:tc>
        <w:tc>
          <w:tcPr>
            <w:tcW w:w="1134" w:type="dxa"/>
            <w:vAlign w:val="center"/>
          </w:tcPr>
          <w:p>
            <w:pPr>
              <w:pStyle w:val="11"/>
            </w:pPr>
            <w:r>
              <w:t>68.44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67.78</w:t>
            </w:r>
          </w:p>
        </w:tc>
        <w:tc>
          <w:tcPr>
            <w:tcW w:w="1134" w:type="dxa"/>
            <w:vAlign w:val="center"/>
          </w:tcPr>
          <w:p>
            <w:pPr>
              <w:pStyle w:val="11"/>
            </w:pPr>
            <w:r>
              <w:t>67.78</w:t>
            </w:r>
          </w:p>
        </w:tc>
        <w:tc>
          <w:tcPr>
            <w:tcW w:w="1134" w:type="dxa"/>
            <w:vAlign w:val="center"/>
          </w:tcPr>
          <w:p>
            <w:pPr>
              <w:pStyle w:val="11"/>
            </w:pPr>
            <w:r>
              <w:t>67.78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23.38</w:t>
            </w:r>
          </w:p>
        </w:tc>
        <w:tc>
          <w:tcPr>
            <w:tcW w:w="1134" w:type="dxa"/>
            <w:vAlign w:val="center"/>
          </w:tcPr>
          <w:p>
            <w:pPr>
              <w:pStyle w:val="11"/>
            </w:pPr>
            <w:r>
              <w:t>23.38</w:t>
            </w:r>
          </w:p>
        </w:tc>
        <w:tc>
          <w:tcPr>
            <w:tcW w:w="1134" w:type="dxa"/>
            <w:vAlign w:val="center"/>
          </w:tcPr>
          <w:p>
            <w:pPr>
              <w:pStyle w:val="11"/>
            </w:pPr>
            <w:r>
              <w:t>23.38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0.66</w:t>
            </w:r>
          </w:p>
        </w:tc>
        <w:tc>
          <w:tcPr>
            <w:tcW w:w="1134" w:type="dxa"/>
            <w:vAlign w:val="center"/>
          </w:tcPr>
          <w:p>
            <w:pPr>
              <w:pStyle w:val="11"/>
            </w:pPr>
            <w:r>
              <w:t>0.66</w:t>
            </w:r>
          </w:p>
        </w:tc>
        <w:tc>
          <w:tcPr>
            <w:tcW w:w="1134" w:type="dxa"/>
            <w:vAlign w:val="center"/>
          </w:tcPr>
          <w:p>
            <w:pPr>
              <w:pStyle w:val="11"/>
            </w:pPr>
            <w:r>
              <w:t>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0.66</w:t>
            </w:r>
          </w:p>
        </w:tc>
        <w:tc>
          <w:tcPr>
            <w:tcW w:w="1134" w:type="dxa"/>
            <w:vAlign w:val="center"/>
          </w:tcPr>
          <w:p>
            <w:pPr>
              <w:pStyle w:val="11"/>
            </w:pPr>
            <w:r>
              <w:t>0.66</w:t>
            </w:r>
          </w:p>
        </w:tc>
        <w:tc>
          <w:tcPr>
            <w:tcW w:w="1134" w:type="dxa"/>
            <w:vAlign w:val="center"/>
          </w:tcPr>
          <w:p>
            <w:pPr>
              <w:pStyle w:val="11"/>
            </w:pPr>
            <w:r>
              <w:t>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9.34</w:t>
            </w:r>
          </w:p>
        </w:tc>
        <w:tc>
          <w:tcPr>
            <w:tcW w:w="1134" w:type="dxa"/>
            <w:vAlign w:val="center"/>
          </w:tcPr>
          <w:p>
            <w:pPr>
              <w:pStyle w:val="11"/>
            </w:pPr>
            <w:r>
              <w:t>9.34</w:t>
            </w:r>
          </w:p>
        </w:tc>
        <w:tc>
          <w:tcPr>
            <w:tcW w:w="1134" w:type="dxa"/>
            <w:vAlign w:val="center"/>
          </w:tcPr>
          <w:p>
            <w:pPr>
              <w:pStyle w:val="11"/>
            </w:pPr>
            <w:r>
              <w:t>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5.01</w:t>
            </w:r>
          </w:p>
        </w:tc>
        <w:tc>
          <w:tcPr>
            <w:tcW w:w="1134" w:type="dxa"/>
            <w:vAlign w:val="center"/>
          </w:tcPr>
          <w:p>
            <w:pPr>
              <w:pStyle w:val="11"/>
            </w:pPr>
            <w:r>
              <w:t>5.01</w:t>
            </w:r>
          </w:p>
        </w:tc>
        <w:tc>
          <w:tcPr>
            <w:tcW w:w="1134" w:type="dxa"/>
            <w:vAlign w:val="center"/>
          </w:tcPr>
          <w:p>
            <w:pPr>
              <w:pStyle w:val="11"/>
            </w:pPr>
            <w:r>
              <w:t>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375.20</w:t>
            </w:r>
          </w:p>
        </w:tc>
        <w:tc>
          <w:tcPr>
            <w:tcW w:w="1361" w:type="dxa"/>
            <w:vAlign w:val="center"/>
          </w:tcPr>
          <w:p>
            <w:pPr>
              <w:pStyle w:val="15"/>
            </w:pPr>
            <w:r>
              <w:t>318.20</w:t>
            </w: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275.12</w:t>
            </w:r>
          </w:p>
        </w:tc>
        <w:tc>
          <w:tcPr>
            <w:tcW w:w="1361" w:type="dxa"/>
            <w:vAlign w:val="center"/>
          </w:tcPr>
          <w:p>
            <w:pPr>
              <w:pStyle w:val="11"/>
            </w:pPr>
            <w:r>
              <w:t>218.12</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20102</w:t>
            </w:r>
          </w:p>
        </w:tc>
        <w:tc>
          <w:tcPr>
            <w:tcW w:w="4536" w:type="dxa"/>
            <w:vAlign w:val="center"/>
          </w:tcPr>
          <w:p>
            <w:pPr>
              <w:pStyle w:val="12"/>
            </w:pPr>
            <w:r>
              <w:t>政协事务</w:t>
            </w:r>
          </w:p>
        </w:tc>
        <w:tc>
          <w:tcPr>
            <w:tcW w:w="1361" w:type="dxa"/>
            <w:vAlign w:val="center"/>
          </w:tcPr>
          <w:p>
            <w:pPr>
              <w:pStyle w:val="11"/>
            </w:pPr>
            <w:r>
              <w:t>275.12</w:t>
            </w:r>
          </w:p>
        </w:tc>
        <w:tc>
          <w:tcPr>
            <w:tcW w:w="1361" w:type="dxa"/>
            <w:vAlign w:val="center"/>
          </w:tcPr>
          <w:p>
            <w:pPr>
              <w:pStyle w:val="11"/>
            </w:pPr>
            <w:r>
              <w:t>218.12</w:t>
            </w:r>
          </w:p>
        </w:tc>
        <w:tc>
          <w:tcPr>
            <w:tcW w:w="1361" w:type="dxa"/>
            <w:vAlign w:val="center"/>
          </w:tcPr>
          <w:p>
            <w:pPr>
              <w:pStyle w:val="11"/>
            </w:pPr>
            <w:r>
              <w:t>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2010201</w:t>
            </w:r>
          </w:p>
        </w:tc>
        <w:tc>
          <w:tcPr>
            <w:tcW w:w="4536" w:type="dxa"/>
            <w:vAlign w:val="center"/>
          </w:tcPr>
          <w:p>
            <w:pPr>
              <w:pStyle w:val="12"/>
            </w:pPr>
            <w:r>
              <w:t>行政运行</w:t>
            </w:r>
          </w:p>
        </w:tc>
        <w:tc>
          <w:tcPr>
            <w:tcW w:w="1361" w:type="dxa"/>
            <w:vAlign w:val="center"/>
          </w:tcPr>
          <w:p>
            <w:pPr>
              <w:pStyle w:val="11"/>
            </w:pPr>
            <w:r>
              <w:t>218.12</w:t>
            </w:r>
          </w:p>
        </w:tc>
        <w:tc>
          <w:tcPr>
            <w:tcW w:w="1361" w:type="dxa"/>
            <w:vAlign w:val="center"/>
          </w:tcPr>
          <w:p>
            <w:pPr>
              <w:pStyle w:val="11"/>
            </w:pPr>
            <w:r>
              <w:t>218.12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2010202</w:t>
            </w:r>
          </w:p>
        </w:tc>
        <w:tc>
          <w:tcPr>
            <w:tcW w:w="4536" w:type="dxa"/>
            <w:vAlign w:val="center"/>
          </w:tcPr>
          <w:p>
            <w:pPr>
              <w:pStyle w:val="12"/>
            </w:pPr>
            <w:r>
              <w:t>一般行政管理事务</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2010204</w:t>
            </w:r>
          </w:p>
        </w:tc>
        <w:tc>
          <w:tcPr>
            <w:tcW w:w="4536" w:type="dxa"/>
            <w:vAlign w:val="center"/>
          </w:tcPr>
          <w:p>
            <w:pPr>
              <w:pStyle w:val="12"/>
            </w:pPr>
            <w:r>
              <w:t>政协会议</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68.44</w:t>
            </w:r>
          </w:p>
        </w:tc>
        <w:tc>
          <w:tcPr>
            <w:tcW w:w="1361" w:type="dxa"/>
            <w:vAlign w:val="center"/>
          </w:tcPr>
          <w:p>
            <w:pPr>
              <w:pStyle w:val="11"/>
            </w:pPr>
            <w:r>
              <w:t>68.44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67.78</w:t>
            </w:r>
          </w:p>
        </w:tc>
        <w:tc>
          <w:tcPr>
            <w:tcW w:w="1361" w:type="dxa"/>
            <w:vAlign w:val="center"/>
          </w:tcPr>
          <w:p>
            <w:pPr>
              <w:pStyle w:val="11"/>
            </w:pPr>
            <w:r>
              <w:t>67.78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44.40</w:t>
            </w: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23.38</w:t>
            </w:r>
          </w:p>
        </w:tc>
        <w:tc>
          <w:tcPr>
            <w:tcW w:w="1361" w:type="dxa"/>
            <w:vAlign w:val="center"/>
          </w:tcPr>
          <w:p>
            <w:pPr>
              <w:pStyle w:val="11"/>
            </w:pPr>
            <w:r>
              <w:t>23.38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0.66</w:t>
            </w:r>
          </w:p>
        </w:tc>
        <w:tc>
          <w:tcPr>
            <w:tcW w:w="1361" w:type="dxa"/>
            <w:vAlign w:val="center"/>
          </w:tcPr>
          <w:p>
            <w:pPr>
              <w:pStyle w:val="11"/>
            </w:pPr>
            <w:r>
              <w:t>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0.66</w:t>
            </w:r>
          </w:p>
        </w:tc>
        <w:tc>
          <w:tcPr>
            <w:tcW w:w="1361" w:type="dxa"/>
            <w:vAlign w:val="center"/>
          </w:tcPr>
          <w:p>
            <w:pPr>
              <w:pStyle w:val="11"/>
            </w:pPr>
            <w:r>
              <w:t>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14.35</w:t>
            </w:r>
          </w:p>
        </w:tc>
        <w:tc>
          <w:tcPr>
            <w:tcW w:w="1361" w:type="dxa"/>
            <w:vAlign w:val="center"/>
          </w:tcPr>
          <w:p>
            <w:pPr>
              <w:pStyle w:val="11"/>
            </w:pPr>
            <w:r>
              <w:t>14.35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14.35</w:t>
            </w:r>
          </w:p>
        </w:tc>
        <w:tc>
          <w:tcPr>
            <w:tcW w:w="1361" w:type="dxa"/>
            <w:vAlign w:val="center"/>
          </w:tcPr>
          <w:p>
            <w:pPr>
              <w:pStyle w:val="11"/>
            </w:pPr>
            <w:r>
              <w:t>14.35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9.34</w:t>
            </w:r>
          </w:p>
        </w:tc>
        <w:tc>
          <w:tcPr>
            <w:tcW w:w="1361" w:type="dxa"/>
            <w:vAlign w:val="center"/>
          </w:tcPr>
          <w:p>
            <w:pPr>
              <w:pStyle w:val="11"/>
            </w:pPr>
            <w:r>
              <w:t>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5.01</w:t>
            </w:r>
          </w:p>
        </w:tc>
        <w:tc>
          <w:tcPr>
            <w:tcW w:w="1361" w:type="dxa"/>
            <w:vAlign w:val="center"/>
          </w:tcPr>
          <w:p>
            <w:pPr>
              <w:pStyle w:val="11"/>
            </w:pPr>
            <w:r>
              <w:t>5.01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17.29</w:t>
            </w:r>
          </w:p>
        </w:tc>
        <w:tc>
          <w:tcPr>
            <w:tcW w:w="1361" w:type="dxa"/>
            <w:vAlign w:val="center"/>
          </w:tcPr>
          <w:p>
            <w:pPr>
              <w:pStyle w:val="11"/>
            </w:pPr>
            <w:r>
              <w:t>17.29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17.29</w:t>
            </w:r>
          </w:p>
        </w:tc>
        <w:tc>
          <w:tcPr>
            <w:tcW w:w="1361" w:type="dxa"/>
            <w:vAlign w:val="center"/>
          </w:tcPr>
          <w:p>
            <w:pPr>
              <w:pStyle w:val="11"/>
            </w:pPr>
            <w:r>
              <w:t>17.29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17.29</w:t>
            </w:r>
          </w:p>
        </w:tc>
        <w:tc>
          <w:tcPr>
            <w:tcW w:w="1361" w:type="dxa"/>
            <w:vAlign w:val="center"/>
          </w:tcPr>
          <w:p>
            <w:pPr>
              <w:pStyle w:val="11"/>
            </w:pPr>
            <w:r>
              <w:t>17.29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375.20</w:t>
            </w:r>
          </w:p>
        </w:tc>
        <w:tc>
          <w:tcPr>
            <w:tcW w:w="3402" w:type="dxa"/>
            <w:vAlign w:val="center"/>
          </w:tcPr>
          <w:p>
            <w:pPr>
              <w:pStyle w:val="12"/>
            </w:pPr>
            <w:r>
              <w:t>一、一般公共服务支出</w:t>
            </w:r>
          </w:p>
        </w:tc>
        <w:tc>
          <w:tcPr>
            <w:tcW w:w="1474" w:type="dxa"/>
            <w:vAlign w:val="center"/>
          </w:tcPr>
          <w:p>
            <w:pPr>
              <w:pStyle w:val="11"/>
            </w:pPr>
            <w:r>
              <w:t>275.12</w:t>
            </w:r>
          </w:p>
        </w:tc>
        <w:tc>
          <w:tcPr>
            <w:tcW w:w="1474" w:type="dxa"/>
            <w:vAlign w:val="center"/>
          </w:tcPr>
          <w:p>
            <w:pPr>
              <w:pStyle w:val="11"/>
            </w:pPr>
            <w:r>
              <w:t>275.12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68.44</w:t>
            </w:r>
          </w:p>
        </w:tc>
        <w:tc>
          <w:tcPr>
            <w:tcW w:w="1474" w:type="dxa"/>
            <w:vAlign w:val="center"/>
          </w:tcPr>
          <w:p>
            <w:pPr>
              <w:pStyle w:val="11"/>
            </w:pPr>
            <w:r>
              <w:t>68.44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14.35</w:t>
            </w:r>
          </w:p>
        </w:tc>
        <w:tc>
          <w:tcPr>
            <w:tcW w:w="1474" w:type="dxa"/>
            <w:vAlign w:val="center"/>
          </w:tcPr>
          <w:p>
            <w:pPr>
              <w:pStyle w:val="11"/>
            </w:pPr>
            <w:r>
              <w:t>14.35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17.29</w:t>
            </w:r>
          </w:p>
        </w:tc>
        <w:tc>
          <w:tcPr>
            <w:tcW w:w="1474" w:type="dxa"/>
            <w:vAlign w:val="center"/>
          </w:tcPr>
          <w:p>
            <w:pPr>
              <w:pStyle w:val="11"/>
            </w:pPr>
            <w:r>
              <w:t>17.29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375.20</w:t>
            </w:r>
          </w:p>
        </w:tc>
        <w:tc>
          <w:tcPr>
            <w:tcW w:w="3402" w:type="dxa"/>
            <w:vAlign w:val="center"/>
          </w:tcPr>
          <w:p>
            <w:pPr>
              <w:pStyle w:val="14"/>
            </w:pPr>
            <w:r>
              <w:t>本年支出合计</w:t>
            </w:r>
          </w:p>
        </w:tc>
        <w:tc>
          <w:tcPr>
            <w:tcW w:w="1474" w:type="dxa"/>
            <w:vAlign w:val="center"/>
          </w:tcPr>
          <w:p>
            <w:pPr>
              <w:pStyle w:val="15"/>
            </w:pPr>
            <w:r>
              <w:t>375.20</w:t>
            </w:r>
          </w:p>
        </w:tc>
        <w:tc>
          <w:tcPr>
            <w:tcW w:w="1474" w:type="dxa"/>
            <w:vAlign w:val="center"/>
          </w:tcPr>
          <w:p>
            <w:pPr>
              <w:pStyle w:val="15"/>
            </w:pPr>
            <w:r>
              <w:t>375.20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375.20</w:t>
            </w:r>
          </w:p>
        </w:tc>
        <w:tc>
          <w:tcPr>
            <w:tcW w:w="3402" w:type="dxa"/>
            <w:vAlign w:val="center"/>
          </w:tcPr>
          <w:p>
            <w:pPr>
              <w:pStyle w:val="14"/>
            </w:pPr>
            <w:r>
              <w:t>支出总计</w:t>
            </w:r>
          </w:p>
        </w:tc>
        <w:tc>
          <w:tcPr>
            <w:tcW w:w="1474" w:type="dxa"/>
            <w:vAlign w:val="center"/>
          </w:tcPr>
          <w:p>
            <w:pPr>
              <w:pStyle w:val="15"/>
            </w:pPr>
            <w:r>
              <w:t>375.20</w:t>
            </w:r>
          </w:p>
        </w:tc>
        <w:tc>
          <w:tcPr>
            <w:tcW w:w="1474" w:type="dxa"/>
            <w:vAlign w:val="center"/>
          </w:tcPr>
          <w:p>
            <w:pPr>
              <w:pStyle w:val="15"/>
            </w:pPr>
            <w:r>
              <w:t>375.20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375.20</w:t>
            </w:r>
          </w:p>
        </w:tc>
        <w:tc>
          <w:tcPr>
            <w:tcW w:w="2551" w:type="dxa"/>
            <w:vAlign w:val="center"/>
          </w:tcPr>
          <w:p>
            <w:pPr>
              <w:pStyle w:val="15"/>
            </w:pPr>
            <w:r>
              <w:t>318.20</w:t>
            </w:r>
          </w:p>
        </w:tc>
        <w:tc>
          <w:tcPr>
            <w:tcW w:w="2551"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275.12</w:t>
            </w:r>
          </w:p>
        </w:tc>
        <w:tc>
          <w:tcPr>
            <w:tcW w:w="2551" w:type="dxa"/>
            <w:vAlign w:val="center"/>
          </w:tcPr>
          <w:p>
            <w:pPr>
              <w:pStyle w:val="11"/>
            </w:pPr>
            <w:r>
              <w:t>218.12</w:t>
            </w: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20102</w:t>
            </w:r>
          </w:p>
        </w:tc>
        <w:tc>
          <w:tcPr>
            <w:tcW w:w="4535" w:type="dxa"/>
            <w:vAlign w:val="center"/>
          </w:tcPr>
          <w:p>
            <w:pPr>
              <w:pStyle w:val="12"/>
            </w:pPr>
            <w:r>
              <w:t>政协事务</w:t>
            </w:r>
          </w:p>
        </w:tc>
        <w:tc>
          <w:tcPr>
            <w:tcW w:w="2551" w:type="dxa"/>
            <w:vAlign w:val="center"/>
          </w:tcPr>
          <w:p>
            <w:pPr>
              <w:pStyle w:val="11"/>
            </w:pPr>
            <w:r>
              <w:t>275.12</w:t>
            </w:r>
          </w:p>
        </w:tc>
        <w:tc>
          <w:tcPr>
            <w:tcW w:w="2551" w:type="dxa"/>
            <w:vAlign w:val="center"/>
          </w:tcPr>
          <w:p>
            <w:pPr>
              <w:pStyle w:val="11"/>
            </w:pPr>
            <w:r>
              <w:t>218.12</w:t>
            </w:r>
          </w:p>
        </w:tc>
        <w:tc>
          <w:tcPr>
            <w:tcW w:w="2551"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2010201</w:t>
            </w:r>
          </w:p>
        </w:tc>
        <w:tc>
          <w:tcPr>
            <w:tcW w:w="4535" w:type="dxa"/>
            <w:vAlign w:val="center"/>
          </w:tcPr>
          <w:p>
            <w:pPr>
              <w:pStyle w:val="12"/>
            </w:pPr>
            <w:r>
              <w:t>行政运行</w:t>
            </w:r>
          </w:p>
        </w:tc>
        <w:tc>
          <w:tcPr>
            <w:tcW w:w="2551" w:type="dxa"/>
            <w:vAlign w:val="center"/>
          </w:tcPr>
          <w:p>
            <w:pPr>
              <w:pStyle w:val="11"/>
            </w:pPr>
            <w:r>
              <w:t>218.12</w:t>
            </w:r>
          </w:p>
        </w:tc>
        <w:tc>
          <w:tcPr>
            <w:tcW w:w="2551" w:type="dxa"/>
            <w:vAlign w:val="center"/>
          </w:tcPr>
          <w:p>
            <w:pPr>
              <w:pStyle w:val="11"/>
            </w:pPr>
            <w:r>
              <w:t>218.12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2010202</w:t>
            </w:r>
          </w:p>
        </w:tc>
        <w:tc>
          <w:tcPr>
            <w:tcW w:w="4535" w:type="dxa"/>
            <w:vAlign w:val="center"/>
          </w:tcPr>
          <w:p>
            <w:pPr>
              <w:pStyle w:val="12"/>
            </w:pPr>
            <w:r>
              <w:t>一般行政管理事务</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2010204</w:t>
            </w:r>
          </w:p>
        </w:tc>
        <w:tc>
          <w:tcPr>
            <w:tcW w:w="4535" w:type="dxa"/>
            <w:vAlign w:val="center"/>
          </w:tcPr>
          <w:p>
            <w:pPr>
              <w:pStyle w:val="12"/>
            </w:pPr>
            <w:r>
              <w:t>政协会议</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68.44</w:t>
            </w:r>
          </w:p>
        </w:tc>
        <w:tc>
          <w:tcPr>
            <w:tcW w:w="2551" w:type="dxa"/>
            <w:vAlign w:val="center"/>
          </w:tcPr>
          <w:p>
            <w:pPr>
              <w:pStyle w:val="11"/>
            </w:pPr>
            <w:r>
              <w:t>68.44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67.78</w:t>
            </w:r>
          </w:p>
        </w:tc>
        <w:tc>
          <w:tcPr>
            <w:tcW w:w="2551" w:type="dxa"/>
            <w:vAlign w:val="center"/>
          </w:tcPr>
          <w:p>
            <w:pPr>
              <w:pStyle w:val="11"/>
            </w:pPr>
            <w:r>
              <w:t>67.78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44.40</w:t>
            </w:r>
          </w:p>
        </w:tc>
        <w:tc>
          <w:tcPr>
            <w:tcW w:w="2551" w:type="dxa"/>
            <w:vAlign w:val="center"/>
          </w:tcPr>
          <w:p>
            <w:pPr>
              <w:pStyle w:val="11"/>
            </w:pPr>
            <w:r>
              <w:t>44.40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23.38</w:t>
            </w:r>
          </w:p>
        </w:tc>
        <w:tc>
          <w:tcPr>
            <w:tcW w:w="2551" w:type="dxa"/>
            <w:vAlign w:val="center"/>
          </w:tcPr>
          <w:p>
            <w:pPr>
              <w:pStyle w:val="11"/>
            </w:pPr>
            <w:r>
              <w:t>23.38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0.66</w:t>
            </w:r>
          </w:p>
        </w:tc>
        <w:tc>
          <w:tcPr>
            <w:tcW w:w="2551" w:type="dxa"/>
            <w:vAlign w:val="center"/>
          </w:tcPr>
          <w:p>
            <w:pPr>
              <w:pStyle w:val="11"/>
            </w:pPr>
            <w:r>
              <w:t>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0.66</w:t>
            </w:r>
          </w:p>
        </w:tc>
        <w:tc>
          <w:tcPr>
            <w:tcW w:w="2551" w:type="dxa"/>
            <w:vAlign w:val="center"/>
          </w:tcPr>
          <w:p>
            <w:pPr>
              <w:pStyle w:val="11"/>
            </w:pPr>
            <w:r>
              <w:t>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14.35</w:t>
            </w:r>
          </w:p>
        </w:tc>
        <w:tc>
          <w:tcPr>
            <w:tcW w:w="2551" w:type="dxa"/>
            <w:vAlign w:val="center"/>
          </w:tcPr>
          <w:p>
            <w:pPr>
              <w:pStyle w:val="11"/>
            </w:pPr>
            <w:r>
              <w:t>14.35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14.35</w:t>
            </w:r>
          </w:p>
        </w:tc>
        <w:tc>
          <w:tcPr>
            <w:tcW w:w="2551" w:type="dxa"/>
            <w:vAlign w:val="center"/>
          </w:tcPr>
          <w:p>
            <w:pPr>
              <w:pStyle w:val="11"/>
            </w:pPr>
            <w:r>
              <w:t>14.35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9.34</w:t>
            </w:r>
          </w:p>
        </w:tc>
        <w:tc>
          <w:tcPr>
            <w:tcW w:w="2551" w:type="dxa"/>
            <w:vAlign w:val="center"/>
          </w:tcPr>
          <w:p>
            <w:pPr>
              <w:pStyle w:val="11"/>
            </w:pPr>
            <w:r>
              <w:t>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5.01</w:t>
            </w:r>
          </w:p>
        </w:tc>
        <w:tc>
          <w:tcPr>
            <w:tcW w:w="2551" w:type="dxa"/>
            <w:vAlign w:val="center"/>
          </w:tcPr>
          <w:p>
            <w:pPr>
              <w:pStyle w:val="11"/>
            </w:pPr>
            <w:r>
              <w:t>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17.29</w:t>
            </w:r>
          </w:p>
        </w:tc>
        <w:tc>
          <w:tcPr>
            <w:tcW w:w="2551" w:type="dxa"/>
            <w:vAlign w:val="center"/>
          </w:tcPr>
          <w:p>
            <w:pPr>
              <w:pStyle w:val="11"/>
            </w:pPr>
            <w:r>
              <w:t>17.29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17.29</w:t>
            </w:r>
          </w:p>
        </w:tc>
        <w:tc>
          <w:tcPr>
            <w:tcW w:w="2551" w:type="dxa"/>
            <w:vAlign w:val="center"/>
          </w:tcPr>
          <w:p>
            <w:pPr>
              <w:pStyle w:val="11"/>
            </w:pPr>
            <w:r>
              <w:t>17.29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17.29</w:t>
            </w:r>
          </w:p>
        </w:tc>
        <w:tc>
          <w:tcPr>
            <w:tcW w:w="2551" w:type="dxa"/>
            <w:vAlign w:val="center"/>
          </w:tcPr>
          <w:p>
            <w:pPr>
              <w:pStyle w:val="11"/>
            </w:pPr>
            <w:r>
              <w:t>17.29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318.20</w:t>
            </w:r>
          </w:p>
        </w:tc>
        <w:tc>
          <w:tcPr>
            <w:tcW w:w="2551" w:type="dxa"/>
            <w:vAlign w:val="center"/>
          </w:tcPr>
          <w:p>
            <w:pPr>
              <w:pStyle w:val="15"/>
            </w:pPr>
            <w:r>
              <w:t>278.29</w:t>
            </w:r>
          </w:p>
        </w:tc>
        <w:tc>
          <w:tcPr>
            <w:tcW w:w="2552" w:type="dxa"/>
            <w:vAlign w:val="center"/>
          </w:tcPr>
          <w:p>
            <w:pPr>
              <w:pStyle w:val="15"/>
            </w:pPr>
            <w:r>
              <w:t>39.91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233.02</w:t>
            </w:r>
          </w:p>
        </w:tc>
        <w:tc>
          <w:tcPr>
            <w:tcW w:w="2551" w:type="dxa"/>
            <w:vAlign w:val="center"/>
          </w:tcPr>
          <w:p>
            <w:pPr>
              <w:pStyle w:val="11"/>
            </w:pPr>
            <w:r>
              <w:t>233.02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97.14</w:t>
            </w:r>
          </w:p>
        </w:tc>
        <w:tc>
          <w:tcPr>
            <w:tcW w:w="2551" w:type="dxa"/>
            <w:vAlign w:val="center"/>
          </w:tcPr>
          <w:p>
            <w:pPr>
              <w:pStyle w:val="11"/>
            </w:pPr>
            <w:r>
              <w:t>97.14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50.56</w:t>
            </w:r>
          </w:p>
        </w:tc>
        <w:tc>
          <w:tcPr>
            <w:tcW w:w="2551" w:type="dxa"/>
            <w:vAlign w:val="center"/>
          </w:tcPr>
          <w:p>
            <w:pPr>
              <w:pStyle w:val="11"/>
            </w:pPr>
            <w:r>
              <w:t>50.56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29.64</w:t>
            </w:r>
          </w:p>
        </w:tc>
        <w:tc>
          <w:tcPr>
            <w:tcW w:w="2551" w:type="dxa"/>
            <w:vAlign w:val="center"/>
          </w:tcPr>
          <w:p>
            <w:pPr>
              <w:pStyle w:val="11"/>
            </w:pPr>
            <w:r>
              <w:t>29.64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23.38</w:t>
            </w:r>
          </w:p>
        </w:tc>
        <w:tc>
          <w:tcPr>
            <w:tcW w:w="2551" w:type="dxa"/>
            <w:vAlign w:val="center"/>
          </w:tcPr>
          <w:p>
            <w:pPr>
              <w:pStyle w:val="11"/>
            </w:pPr>
            <w:r>
              <w:t>23.38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9.34</w:t>
            </w:r>
          </w:p>
        </w:tc>
        <w:tc>
          <w:tcPr>
            <w:tcW w:w="2551" w:type="dxa"/>
            <w:vAlign w:val="center"/>
          </w:tcPr>
          <w:p>
            <w:pPr>
              <w:pStyle w:val="11"/>
            </w:pPr>
            <w:r>
              <w:t>9.34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5.01</w:t>
            </w:r>
          </w:p>
        </w:tc>
        <w:tc>
          <w:tcPr>
            <w:tcW w:w="2551" w:type="dxa"/>
            <w:vAlign w:val="center"/>
          </w:tcPr>
          <w:p>
            <w:pPr>
              <w:pStyle w:val="11"/>
            </w:pPr>
            <w:r>
              <w:t>5.01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0.66</w:t>
            </w:r>
          </w:p>
        </w:tc>
        <w:tc>
          <w:tcPr>
            <w:tcW w:w="2551" w:type="dxa"/>
            <w:vAlign w:val="center"/>
          </w:tcPr>
          <w:p>
            <w:pPr>
              <w:pStyle w:val="11"/>
            </w:pPr>
            <w:r>
              <w:t>0.66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17.29</w:t>
            </w:r>
          </w:p>
        </w:tc>
        <w:tc>
          <w:tcPr>
            <w:tcW w:w="2551" w:type="dxa"/>
            <w:vAlign w:val="center"/>
          </w:tcPr>
          <w:p>
            <w:pPr>
              <w:pStyle w:val="11"/>
            </w:pPr>
            <w:r>
              <w:t>17.29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39.91</w:t>
            </w:r>
          </w:p>
        </w:tc>
        <w:tc>
          <w:tcPr>
            <w:tcW w:w="2551" w:type="dxa"/>
            <w:vAlign w:val="center"/>
          </w:tcPr>
          <w:p>
            <w:pPr>
              <w:pStyle w:val="11"/>
            </w:pPr>
          </w:p>
        </w:tc>
        <w:tc>
          <w:tcPr>
            <w:tcW w:w="2552" w:type="dxa"/>
            <w:vAlign w:val="center"/>
          </w:tcPr>
          <w:p>
            <w:pPr>
              <w:pStyle w:val="11"/>
            </w:pPr>
            <w:r>
              <w:t>39.91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3.90</w:t>
            </w:r>
          </w:p>
        </w:tc>
        <w:tc>
          <w:tcPr>
            <w:tcW w:w="2551" w:type="dxa"/>
            <w:vAlign w:val="center"/>
          </w:tcPr>
          <w:p>
            <w:pPr>
              <w:pStyle w:val="11"/>
            </w:pPr>
          </w:p>
        </w:tc>
        <w:tc>
          <w:tcPr>
            <w:tcW w:w="2552" w:type="dxa"/>
            <w:vAlign w:val="center"/>
          </w:tcPr>
          <w:p>
            <w:pPr>
              <w:pStyle w:val="11"/>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11.10</w:t>
            </w:r>
          </w:p>
        </w:tc>
        <w:tc>
          <w:tcPr>
            <w:tcW w:w="2551" w:type="dxa"/>
            <w:vAlign w:val="center"/>
          </w:tcPr>
          <w:p>
            <w:pPr>
              <w:pStyle w:val="11"/>
            </w:pPr>
          </w:p>
        </w:tc>
        <w:tc>
          <w:tcPr>
            <w:tcW w:w="2552" w:type="dxa"/>
            <w:vAlign w:val="center"/>
          </w:tcPr>
          <w:p>
            <w:pPr>
              <w:pStyle w:val="11"/>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1.47</w:t>
            </w:r>
          </w:p>
        </w:tc>
        <w:tc>
          <w:tcPr>
            <w:tcW w:w="2551" w:type="dxa"/>
            <w:vAlign w:val="center"/>
          </w:tcPr>
          <w:p>
            <w:pPr>
              <w:pStyle w:val="11"/>
            </w:pPr>
          </w:p>
        </w:tc>
        <w:tc>
          <w:tcPr>
            <w:tcW w:w="2552"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2.83</w:t>
            </w:r>
          </w:p>
        </w:tc>
        <w:tc>
          <w:tcPr>
            <w:tcW w:w="2551" w:type="dxa"/>
            <w:vAlign w:val="center"/>
          </w:tcPr>
          <w:p>
            <w:pPr>
              <w:pStyle w:val="11"/>
            </w:pPr>
          </w:p>
        </w:tc>
        <w:tc>
          <w:tcPr>
            <w:tcW w:w="2552" w:type="dxa"/>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16.01</w:t>
            </w:r>
          </w:p>
        </w:tc>
        <w:tc>
          <w:tcPr>
            <w:tcW w:w="2551" w:type="dxa"/>
            <w:vAlign w:val="center"/>
          </w:tcPr>
          <w:p>
            <w:pPr>
              <w:pStyle w:val="11"/>
            </w:pPr>
          </w:p>
        </w:tc>
        <w:tc>
          <w:tcPr>
            <w:tcW w:w="2552" w:type="dxa"/>
            <w:vAlign w:val="center"/>
          </w:tcPr>
          <w:p>
            <w:pPr>
              <w:pStyle w:val="11"/>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45.27</w:t>
            </w:r>
          </w:p>
        </w:tc>
        <w:tc>
          <w:tcPr>
            <w:tcW w:w="2551" w:type="dxa"/>
            <w:vAlign w:val="center"/>
          </w:tcPr>
          <w:p>
            <w:pPr>
              <w:pStyle w:val="11"/>
            </w:pPr>
            <w:r>
              <w:t>45.27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44.40</w:t>
            </w:r>
          </w:p>
        </w:tc>
        <w:tc>
          <w:tcPr>
            <w:tcW w:w="2551" w:type="dxa"/>
            <w:vAlign w:val="center"/>
          </w:tcPr>
          <w:p>
            <w:pPr>
              <w:pStyle w:val="11"/>
            </w:pPr>
            <w:r>
              <w:t>44.40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中国人民政治协商会议河北省曲阳县委员会2024年部门预算信息公开情况说明</w:t>
      </w:r>
    </w:p>
    <w:p>
      <w:pPr>
        <w:jc w:val="center"/>
      </w:pPr>
      <w:r>
        <w:rPr>
          <w:rFonts w:ascii="方正小标宋_GBK" w:hAnsi="方正小标宋_GBK" w:eastAsia="方正小标宋_GBK" w:cs="方正小标宋_GBK"/>
          <w:color w:val="000000"/>
          <w:sz w:val="44"/>
        </w:rPr>
        <w:t>中国人民政治协商会议河北省曲阳县委员会2024年部门预算信息公开情况说明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按照《中华人民共和国预算法》、《地方预决算公开操作规程》和《关于进一步推进预算公开工作的实施意见》规定，现将中国人民政治协商会议河北省曲阳县委员会2024年部门预算公开如下：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（一）组织实施县政协全体会议、常务委员会议、主席会议和主席办公会的决议、决定；</w:t>
      </w:r>
    </w:p>
    <w:p>
      <w:pPr>
        <w:pStyle w:val="17"/>
      </w:pPr>
      <w:r>
        <w:t>（二）负责县政协全体会议、</w:t>
      </w:r>
      <w:r>
        <w:rPr>
          <w:rFonts w:hint="eastAsia"/>
          <w:lang w:eastAsia="zh-CN"/>
        </w:rPr>
        <w:t>常委会会议</w:t>
      </w:r>
      <w:r>
        <w:t>、主席会议、常务委员专题座谈会议的会务工作；</w:t>
      </w:r>
    </w:p>
    <w:p>
      <w:pPr>
        <w:pStyle w:val="17"/>
      </w:pPr>
      <w:r>
        <w:t>（三）负责委员视察、参观、座谈、研讨等日常活动的服务和组织工作；负责县政协委员的接待、来信来访工作；</w:t>
      </w:r>
    </w:p>
    <w:p>
      <w:pPr>
        <w:pStyle w:val="17"/>
      </w:pPr>
      <w:r>
        <w:t>（四）负责上传下达与县直有关部门的协调配合工作；</w:t>
      </w:r>
    </w:p>
    <w:p>
      <w:pPr>
        <w:pStyle w:val="17"/>
      </w:pPr>
      <w:r>
        <w:t>（五）负责全县政协委员和机关工作人员的学习培训及机关工作人员的考核、奖惩、工资福利等项工作；</w:t>
      </w:r>
    </w:p>
    <w:p>
      <w:pPr>
        <w:pStyle w:val="17"/>
      </w:pPr>
      <w:r>
        <w:t>（六）负责统一战线的人民政协理论与政策的研究及信息反馈、对外宣传工作；</w:t>
      </w:r>
    </w:p>
    <w:p>
      <w:pPr>
        <w:pStyle w:val="17"/>
      </w:pPr>
      <w:r>
        <w:t>（七）负责县政协综合文字的起草工作、档案收集、管理工作和文史资料的收集整理出版工作；</w:t>
      </w:r>
    </w:p>
    <w:p>
      <w:pPr>
        <w:pStyle w:val="17"/>
      </w:pPr>
      <w:r>
        <w:t>（八）负责组织政协委员学习、宣传、贯彻党和国家的经济改革与发展的路线、方针、政策，帮助政协委员和各界人士了解当前经济社会发展形势，广泛听取他们对经济发展、城镇建设和民生改善等方面的意见和建议，为全县的经济社会发展献计献策；</w:t>
      </w:r>
    </w:p>
    <w:p>
      <w:pPr>
        <w:pStyle w:val="17"/>
      </w:pPr>
      <w:r>
        <w:t>（九）负责组织、征集提案和审查立案，交办督办工作；负责宣传和推动党的民族宗教政策和国家有关法律法规的贯彻落实工作；</w:t>
      </w:r>
    </w:p>
    <w:p>
      <w:pPr>
        <w:pStyle w:val="17"/>
      </w:pPr>
      <w:r>
        <w:t>（十）负责广泛联系有关部门和组织政协委员围绕经济建设、社会稳定和文教体卫等方面中的重点、难点、热点问题，开展调查研究、考察、视察等项活动，向党委、政府提出研究报告及具有可操作性的意见和建议；</w:t>
      </w:r>
    </w:p>
    <w:p>
      <w:pPr>
        <w:pStyle w:val="17"/>
      </w:pPr>
      <w:r>
        <w:t>（十一）负责组织政协委员开展咨询服务活动，推动社会主义公益事业发展，帮助困难群众解决好生产、生活中的实际问题和困难，发挥委员在社会主义精神文明建设中的作用，调动广大政协委员在各自的岗位上为全县的经济和社会发展建功立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中国人民政治协商会议河北省曲阳县委员会办公室本级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按照预算管理有关规定，目前部门预算的编制实行综合预算管理，即全部收入和支出都反映在预算中。中国人民政治协商会议河北省曲阳县委员会机关及所属事业单位的收支包含在部门预算中。</w:t>
      </w:r>
    </w:p>
    <w:p>
      <w:pPr>
        <w:pStyle w:val="18"/>
      </w:pPr>
      <w:r>
        <w:t>1、收入说明</w:t>
      </w:r>
    </w:p>
    <w:p>
      <w:pPr>
        <w:pStyle w:val="18"/>
      </w:pPr>
      <w:r>
        <w:t>反映本部门当年全部收入。2024年预算收入375.20万元，其中：一般公共预算收入375.20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人民政治协商会议河北省曲阳县委员会年度部门预算中支出预算的总体情况。2024年支出预算375.20万元，其中基本支出318.20万元，包括人员经费278.29万元和日常公用经费39.91万元；项目支出57.00万元，主要为政协会议项目经费30.00万元，政协机关涉军公益岗人员经费6.80万元，政协机关专项公用运转保障经费15.7万元，政协机关劳务派遣人员经费4.5万元。</w:t>
      </w:r>
    </w:p>
    <w:p>
      <w:pPr>
        <w:pStyle w:val="18"/>
      </w:pPr>
      <w:r>
        <w:t>3、比上年增减情况</w:t>
      </w:r>
    </w:p>
    <w:p>
      <w:pPr>
        <w:pStyle w:val="18"/>
      </w:pPr>
      <w:r>
        <w:t>2024年预算收支安排375.20万元，较2023年预算减少4.74万元，其中：基本支出减少6.14万元，主要为有2名人员退休，人工工资及保险减少，办公费、福利费等公用经费也相应减少。项目支出增加1.40万元，主要为政协机关专项公用运转保障经费增加1.40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rPr>
          <w:rFonts w:eastAsia="方正仿宋_GBK"/>
          <w:sz w:val="28"/>
        </w:rPr>
      </w:pPr>
      <w:bookmarkStart w:id="12" w:name="_Toc_3_3_0000000013"/>
      <w:r>
        <w:rPr>
          <w:rFonts w:ascii="Helvetica Neue" w:hAnsi="Helvetica Neue" w:eastAsia="Helvetica Neue" w:cs="Helvetica Neue"/>
          <w:color w:val="212529"/>
          <w:sz w:val="21"/>
          <w:szCs w:val="21"/>
          <w:lang w:eastAsia="zh-CN"/>
        </w:rPr>
        <w:t> </w:t>
      </w:r>
      <w:r>
        <w:rPr>
          <w:rFonts w:hint="eastAsia" w:ascii="Helvetica Neue" w:hAnsi="Helvetica Neue" w:cs="Helvetica Neue" w:eastAsiaTheme="minorEastAsia"/>
          <w:color w:val="212529"/>
          <w:sz w:val="21"/>
          <w:szCs w:val="21"/>
          <w:lang w:eastAsia="zh-CN"/>
        </w:rPr>
        <w:t xml:space="preserve">    </w:t>
      </w:r>
      <w:r>
        <w:rPr>
          <w:rFonts w:ascii="Helvetica Neue" w:hAnsi="Helvetica Neue" w:eastAsia="Helvetica Neue" w:cs="Helvetica Neue"/>
          <w:color w:val="212529"/>
          <w:sz w:val="21"/>
          <w:szCs w:val="21"/>
          <w:lang w:eastAsia="zh-CN"/>
        </w:rPr>
        <w:t> </w:t>
      </w:r>
      <w:r>
        <w:rPr>
          <w:rFonts w:eastAsia="方正仿宋_GBK"/>
          <w:sz w:val="28"/>
          <w:lang w:eastAsia="zh-CN"/>
        </w:rPr>
        <w:t>2024年，我部门机关运行经费共计安排39.91万元，主要用于日常维修、办公用房水电费、办公用房取暖费、 办公用房物业管理费等日常运行支出。</w:t>
      </w:r>
    </w:p>
    <w:p>
      <w:pPr>
        <w:shd w:val="clear" w:color="auto" w:fill="F3FBFD"/>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2024年，我部门财政拨款“三公”经费预算安排3.60万元，其中因公出国（境）费0.00万元；公务用车购置及运维费3.60万元（其中：公务用车购置费为0.00万元，公务用车运维费3.60万元)；公务接待费0.00万元。与2023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坚持以习近平新时代中国特色社会主义思想为指导，坚持发扬民主和增进共识相互贯通、建言资政和凝聚共识双向发力，为创新开创现代化中国雕刻文化名城高质量发展新局面贡献政协智慧和力量。围绕全县中心工作扎实开展政府政协联席协商会，围绕助推县域经济高质量发展、文物保护利用深入调研，把调研成果转化为改进工作、推进发展的思路举措；充分利用“委员之家+委员工作室+乡镇委员联络站”的基层协商平台进一步拓宽协商内容、丰富协商形式、提高协商成效；建立健全与党政舆情相衔接、富有政协特色的社情民意汇集和分析方法，深入基层，促进党政决策察民情、顺民心、合民意；强化委员系统培训教育，完善线上线下、分期轮训等学习培训机制，激发委员履职活力，提高委员履职能力，真正让委员在政协履职中当主力、唱主角。</w:t>
      </w:r>
    </w:p>
    <w:p>
      <w:pPr>
        <w:spacing w:line="500" w:lineRule="exact"/>
        <w:ind w:firstLine="560"/>
      </w:pPr>
      <w:r>
        <w:rPr>
          <w:rFonts w:eastAsia="方正仿宋_GBK"/>
          <w:color w:val="000000"/>
          <w:sz w:val="28"/>
        </w:rPr>
        <w:t>（二）分项绩效目标</w:t>
      </w:r>
    </w:p>
    <w:p>
      <w:pPr>
        <w:pStyle w:val="22"/>
      </w:pPr>
      <w:r>
        <w:t>2024年县政协将认真履行政治协商、民主监督、参政议政职能，凝聚共识，为创新开创现代化中国雕刻文化名城高质量发展新局面贡献政协智慧和力量。</w:t>
      </w:r>
    </w:p>
    <w:p>
      <w:pPr>
        <w:pStyle w:val="22"/>
      </w:pPr>
      <w:r>
        <w:t>1、政治协商方面</w:t>
      </w:r>
    </w:p>
    <w:p>
      <w:pPr>
        <w:pStyle w:val="22"/>
      </w:pPr>
      <w:r>
        <w:t>（1）政协会议。按照市委、县委的安排部署，组织全县政协委员召开县政协十届四次全会，确保各项会议议程顺利进行，圆满完成各项任务。同时力争会议出勤率达到95%以上，政治任务实现率力争达到95%以上。</w:t>
      </w:r>
    </w:p>
    <w:p>
      <w:pPr>
        <w:pStyle w:val="22"/>
      </w:pPr>
      <w:r>
        <w:t>2、民主监督方面</w:t>
      </w:r>
    </w:p>
    <w:p>
      <w:pPr>
        <w:pStyle w:val="22"/>
      </w:pPr>
      <w:r>
        <w:t>（1）委员视察。聚焦社会热点焦点难点问题，跟进视察、出谋划策。全年视察不少于5次，全年民主监督不少于4次，力争视察监督工作按期开展率达到100%。</w:t>
      </w:r>
    </w:p>
    <w:p>
      <w:pPr>
        <w:pStyle w:val="22"/>
      </w:pPr>
      <w:r>
        <w:t>（2）</w:t>
      </w:r>
      <w:r>
        <w:rPr>
          <w:rFonts w:hint="eastAsia"/>
          <w:lang w:eastAsia="zh-CN"/>
        </w:rPr>
        <w:t>常委会会议</w:t>
      </w:r>
      <w:r>
        <w:t>。根据政协章程及工作方案安排，政协每年举行4次常委会，力争会议完成率达到90%以上，同时确保意见建议采纳率达到80%以上，监督工作任务完成率力争达到95%以上。</w:t>
      </w:r>
    </w:p>
    <w:p>
      <w:pPr>
        <w:pStyle w:val="22"/>
      </w:pPr>
      <w:r>
        <w:t>3、参政议政</w:t>
      </w:r>
    </w:p>
    <w:p>
      <w:pPr>
        <w:pStyle w:val="22"/>
      </w:pPr>
      <w:r>
        <w:t>（1）专题调研。围绕全县中心工作开展政府政协联席协商会，围绕助推县域经济高质量发展、文物保护利用深入调研。全年开展专题调研活动4次，同时力争意见建议采纳率达到90%以上。</w:t>
      </w:r>
    </w:p>
    <w:p>
      <w:pPr>
        <w:pStyle w:val="22"/>
      </w:pPr>
      <w:r>
        <w:t>4、政协事务管理方面</w:t>
      </w:r>
    </w:p>
    <w:p>
      <w:pPr>
        <w:pStyle w:val="22"/>
      </w:pPr>
      <w:r>
        <w:t>（1）委员培训。加强组织委员学习培训、专家辅导等，全面提高委员履职能力和业务素质。全年对委员集中培训至少2次，力争使政协委员培训率达到95%以上。</w:t>
      </w:r>
    </w:p>
    <w:p>
      <w:pPr>
        <w:pStyle w:val="22"/>
      </w:pPr>
      <w:r>
        <w:t>（2）文史资料编写、整理和出版。政协在每次全会后，都要组织政协常委和部分政协委员及管理文史资料的有关工作人员进行文史资料的搜集整理、编写，力争书籍内容地方文化覆盖率达到80%以上。</w:t>
      </w:r>
    </w:p>
    <w:p>
      <w:pPr>
        <w:spacing w:line="500" w:lineRule="exact"/>
        <w:ind w:firstLine="560"/>
      </w:pPr>
      <w:r>
        <w:rPr>
          <w:rFonts w:eastAsia="方正仿宋_GBK"/>
          <w:color w:val="000000"/>
          <w:sz w:val="28"/>
        </w:rPr>
        <w:t>（三）工作保障措施</w:t>
      </w:r>
    </w:p>
    <w:p>
      <w:pPr>
        <w:pStyle w:val="23"/>
      </w:pPr>
      <w:r>
        <w:t>县政协为实现2024年发展规划目标，凝心聚力，开拓创新，为创新开创现代化中国雕刻文化名城高质量发展新局面贡献政协智慧和力量，制定如下保障措施：</w:t>
      </w:r>
    </w:p>
    <w:p>
      <w:pPr>
        <w:pStyle w:val="23"/>
      </w:pPr>
      <w:r>
        <w:t>1、要强化理论武装，学用相长特色更加鲜明。坚持用习近平新时代中国特色社会主义思想凝心铸魂，持续深入学习贯彻党的二十大精神，持续推进“书香政协”建设，引导广大政协委员和社会各界人士，深刻领悟“两个确立”的决定性意义，</w:t>
      </w:r>
      <w:r>
        <w:rPr>
          <w:rFonts w:hint="eastAsia"/>
          <w:lang w:eastAsia="zh-CN"/>
        </w:rPr>
        <w:t>增强“四个意识”、坚定“四个自信”</w:t>
      </w:r>
      <w:r>
        <w:t xml:space="preserve">，坚决做到“两个维护”。积极探索更具政协特色的党建新路子，以党建新成效引领政协事业新发展。 </w:t>
      </w:r>
    </w:p>
    <w:p>
      <w:pPr>
        <w:pStyle w:val="23"/>
      </w:pPr>
      <w:r>
        <w:t>2、紧扣中心大局，认真履行政治协商、民主监督、参政议政职能。组织委员开展调研视察，切实增强民主监督工作实效，为经济社会发展的凝聚共识。</w:t>
      </w:r>
    </w:p>
    <w:p>
      <w:pPr>
        <w:pStyle w:val="23"/>
      </w:pPr>
      <w:r>
        <w:t>3、夯实政协工作基础，促进委员依法履职。发挥好委员工作室、乡镇政协委员联络站和功能型党支部等履职平台作用，加强闭会期间委员活动的开展；加强提案办理督办工作；搞好与委员联系和服务工作；开展优秀委员评选活动。</w:t>
      </w:r>
    </w:p>
    <w:p>
      <w:pPr>
        <w:pStyle w:val="23"/>
      </w:pPr>
      <w:r>
        <w:t>4、着力提升工作水平，推进协商民主建设。引导政协委员树立协商理念、遵守协商规则，提高政治把握能力、调查研究能力、联系群众能力、合作共赢能力，为全面提高协商能力和水平提供支撑。</w:t>
      </w:r>
    </w:p>
    <w:p>
      <w:pPr>
        <w:pStyle w:val="23"/>
        <w:sectPr>
          <w:pgSz w:w="16840" w:h="11900" w:orient="landscape"/>
          <w:pgMar w:top="1361" w:right="1020" w:bottom="1361" w:left="1020" w:header="720" w:footer="720" w:gutter="0"/>
          <w:cols w:space="720" w:num="1"/>
        </w:sectPr>
      </w:pPr>
      <w:r>
        <w:t>5、强化机关自身建设，不断提高工作能力。针对政协常委会、界别、专门委员会、委员等不同主体，不断健全完善党的建设、组织管理、联络服务、履职考核等方面制度机制，细化履职重点、明确履职方向，不断激发队伍活力。注重加强政协与相关部门和各乡镇的交流联系，加深政协各专委会之间的沟通协调，不断增强政协系统整体工作合力，为政协事业提质增效创新发展提供坚强有力的保障。</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1、政协机关专项公用运转保障经费绩效目标表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13063424P00DH98100048</w:t>
            </w:r>
          </w:p>
        </w:tc>
        <w:tc>
          <w:tcPr>
            <w:tcW w:w="2835" w:type="dxa"/>
            <w:vAlign w:val="center"/>
          </w:tcPr>
          <w:p>
            <w:pPr>
              <w:pStyle w:val="10"/>
            </w:pPr>
            <w:r>
              <w:t>项目名称</w:t>
            </w:r>
          </w:p>
        </w:tc>
        <w:tc>
          <w:tcPr>
            <w:tcW w:w="6095" w:type="dxa"/>
            <w:gridSpan w:val="3"/>
            <w:vAlign w:val="center"/>
          </w:tcPr>
          <w:p>
            <w:pPr>
              <w:pStyle w:val="12"/>
            </w:pPr>
            <w:r>
              <w:t>政协机关专项公用运转保障经费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15.70</w:t>
            </w:r>
          </w:p>
        </w:tc>
        <w:tc>
          <w:tcPr>
            <w:tcW w:w="2835" w:type="dxa"/>
            <w:vAlign w:val="center"/>
          </w:tcPr>
          <w:p>
            <w:pPr>
              <w:pStyle w:val="10"/>
            </w:pPr>
            <w:r>
              <w:t>其中：财政    资金</w:t>
            </w:r>
          </w:p>
        </w:tc>
        <w:tc>
          <w:tcPr>
            <w:tcW w:w="2551" w:type="dxa"/>
            <w:vAlign w:val="center"/>
          </w:tcPr>
          <w:p>
            <w:pPr>
              <w:pStyle w:val="12"/>
            </w:pPr>
            <w:r>
              <w:t>15.70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预算数15.7万元，其中县级资金15.7万元，主要用于开展调研视察，出版文史资料，组织委员培训等各项工作。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3.93</w:t>
            </w:r>
          </w:p>
        </w:tc>
        <w:tc>
          <w:tcPr>
            <w:tcW w:w="2835" w:type="dxa"/>
            <w:vAlign w:val="center"/>
          </w:tcPr>
          <w:p>
            <w:pPr>
              <w:pStyle w:val="13"/>
            </w:pPr>
            <w:r>
              <w:t>7.85</w:t>
            </w:r>
          </w:p>
        </w:tc>
        <w:tc>
          <w:tcPr>
            <w:tcW w:w="2551" w:type="dxa"/>
            <w:vAlign w:val="center"/>
          </w:tcPr>
          <w:p>
            <w:pPr>
              <w:pStyle w:val="13"/>
            </w:pPr>
            <w:r>
              <w:t>11.78</w:t>
            </w:r>
          </w:p>
        </w:tc>
        <w:tc>
          <w:tcPr>
            <w:tcW w:w="3544" w:type="dxa"/>
            <w:gridSpan w:val="2"/>
            <w:vAlign w:val="center"/>
          </w:tcPr>
          <w:p>
            <w:pPr>
              <w:pStyle w:val="13"/>
            </w:pPr>
            <w:r>
              <w:t>15.70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1.通过开展调研视察，提交建议案、视察和调研报告，反映社情民意，发挥委员作用，提高建言献策水平，为县委县政府科学决策提供参考。</w:t>
            </w:r>
          </w:p>
          <w:p>
            <w:pPr>
              <w:pStyle w:val="12"/>
            </w:pPr>
            <w:r>
              <w:t>2.保障机关各项工作正常运转。</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45" w:type="dxa"/>
            <w:vAlign w:val="center"/>
          </w:tcPr>
          <w:p>
            <w:pPr>
              <w:pStyle w:val="10"/>
            </w:pPr>
            <w:r>
              <w:t>指标值</w:t>
            </w:r>
          </w:p>
        </w:tc>
        <w:tc>
          <w:tcPr>
            <w:tcW w:w="199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当年完成调研报告数量</w:t>
            </w:r>
          </w:p>
        </w:tc>
        <w:tc>
          <w:tcPr>
            <w:tcW w:w="5386" w:type="dxa"/>
            <w:vAlign w:val="center"/>
          </w:tcPr>
          <w:p>
            <w:pPr>
              <w:pStyle w:val="12"/>
            </w:pPr>
            <w:r>
              <w:t>当年完成调研报告数量</w:t>
            </w:r>
          </w:p>
        </w:tc>
        <w:tc>
          <w:tcPr>
            <w:tcW w:w="1545" w:type="dxa"/>
            <w:vAlign w:val="center"/>
          </w:tcPr>
          <w:p>
            <w:pPr>
              <w:pStyle w:val="12"/>
            </w:pPr>
            <w:r>
              <w:t>≥4篇</w:t>
            </w:r>
          </w:p>
        </w:tc>
        <w:tc>
          <w:tcPr>
            <w:tcW w:w="1999" w:type="dxa"/>
            <w:vAlign w:val="center"/>
          </w:tcPr>
          <w:p>
            <w:pPr>
              <w:pStyle w:val="12"/>
              <w:rPr>
                <w:rFonts w:hint="eastAsia" w:eastAsiaTheme="minorEastAsia"/>
                <w:lang w:eastAsia="zh-CN"/>
              </w:rPr>
            </w:pPr>
            <w:r>
              <w:t>依据</w:t>
            </w:r>
            <w:r>
              <w:rPr>
                <w:rFonts w:hint="eastAsia" w:eastAsiaTheme="minor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文史资料印刷合格率</w:t>
            </w:r>
          </w:p>
        </w:tc>
        <w:tc>
          <w:tcPr>
            <w:tcW w:w="5386" w:type="dxa"/>
            <w:vAlign w:val="center"/>
          </w:tcPr>
          <w:p>
            <w:pPr>
              <w:pStyle w:val="12"/>
            </w:pPr>
            <w:r>
              <w:t>文史资料印刷合格率</w:t>
            </w:r>
          </w:p>
        </w:tc>
        <w:tc>
          <w:tcPr>
            <w:tcW w:w="1545" w:type="dxa"/>
            <w:vAlign w:val="center"/>
          </w:tcPr>
          <w:p>
            <w:pPr>
              <w:pStyle w:val="12"/>
            </w:pPr>
            <w:r>
              <w:t>≥90%</w:t>
            </w:r>
          </w:p>
        </w:tc>
        <w:tc>
          <w:tcPr>
            <w:tcW w:w="1999" w:type="dxa"/>
            <w:vAlign w:val="center"/>
          </w:tcPr>
          <w:p>
            <w:pPr>
              <w:pStyle w:val="12"/>
            </w:pPr>
            <w:r>
              <w:t>依据</w:t>
            </w:r>
            <w:r>
              <w:rPr>
                <w:rFonts w:hint="eastAsia" w:eastAsiaTheme="minor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委员培训活动完成时间</w:t>
            </w:r>
          </w:p>
        </w:tc>
        <w:tc>
          <w:tcPr>
            <w:tcW w:w="5386" w:type="dxa"/>
            <w:vAlign w:val="center"/>
          </w:tcPr>
          <w:p>
            <w:pPr>
              <w:pStyle w:val="12"/>
            </w:pPr>
            <w:r>
              <w:t>委员培训活动完成时间</w:t>
            </w:r>
          </w:p>
        </w:tc>
        <w:tc>
          <w:tcPr>
            <w:tcW w:w="1545" w:type="dxa"/>
            <w:vAlign w:val="center"/>
          </w:tcPr>
          <w:p>
            <w:pPr>
              <w:pStyle w:val="12"/>
            </w:pPr>
            <w:r>
              <w:t>11月底前完成</w:t>
            </w:r>
          </w:p>
        </w:tc>
        <w:tc>
          <w:tcPr>
            <w:tcW w:w="1999" w:type="dxa"/>
            <w:vAlign w:val="center"/>
          </w:tcPr>
          <w:p>
            <w:pPr>
              <w:pStyle w:val="12"/>
            </w:pPr>
            <w:r>
              <w:t>依据</w:t>
            </w:r>
            <w:r>
              <w:rPr>
                <w:rFonts w:hint="eastAsia" w:eastAsiaTheme="minor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人均参会成本</w:t>
            </w:r>
          </w:p>
        </w:tc>
        <w:tc>
          <w:tcPr>
            <w:tcW w:w="5386" w:type="dxa"/>
            <w:vAlign w:val="center"/>
          </w:tcPr>
          <w:p>
            <w:pPr>
              <w:pStyle w:val="12"/>
            </w:pPr>
            <w:r>
              <w:t>每人每天参加政协</w:t>
            </w:r>
            <w:r>
              <w:rPr>
                <w:rFonts w:hint="eastAsia"/>
                <w:lang w:eastAsia="zh-CN"/>
              </w:rPr>
              <w:t>常委会会议</w:t>
            </w:r>
            <w:r>
              <w:t>成本</w:t>
            </w:r>
          </w:p>
        </w:tc>
        <w:tc>
          <w:tcPr>
            <w:tcW w:w="1545" w:type="dxa"/>
            <w:vAlign w:val="center"/>
          </w:tcPr>
          <w:p>
            <w:pPr>
              <w:pStyle w:val="12"/>
            </w:pPr>
            <w:r>
              <w:t>≤200元</w:t>
            </w:r>
          </w:p>
        </w:tc>
        <w:tc>
          <w:tcPr>
            <w:tcW w:w="1999" w:type="dxa"/>
            <w:vAlign w:val="center"/>
          </w:tcPr>
          <w:p>
            <w:pPr>
              <w:pStyle w:val="12"/>
            </w:pPr>
            <w:r>
              <w:t>依据</w:t>
            </w:r>
            <w:r>
              <w:rPr>
                <w:rFonts w:hint="eastAsia" w:eastAsiaTheme="minor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政协各项工作保障率</w:t>
            </w:r>
          </w:p>
        </w:tc>
        <w:tc>
          <w:tcPr>
            <w:tcW w:w="5386" w:type="dxa"/>
            <w:vAlign w:val="center"/>
          </w:tcPr>
          <w:p>
            <w:pPr>
              <w:pStyle w:val="12"/>
            </w:pPr>
            <w:r>
              <w:t>政协各项工作保障率</w:t>
            </w:r>
          </w:p>
        </w:tc>
        <w:tc>
          <w:tcPr>
            <w:tcW w:w="1545" w:type="dxa"/>
            <w:vAlign w:val="center"/>
          </w:tcPr>
          <w:p>
            <w:pPr>
              <w:pStyle w:val="12"/>
            </w:pPr>
            <w:r>
              <w:t>≥95%</w:t>
            </w:r>
          </w:p>
        </w:tc>
        <w:tc>
          <w:tcPr>
            <w:tcW w:w="1999" w:type="dxa"/>
            <w:vAlign w:val="center"/>
          </w:tcPr>
          <w:p>
            <w:pPr>
              <w:pStyle w:val="12"/>
            </w:pPr>
            <w:r>
              <w:t>依据</w:t>
            </w:r>
            <w:r>
              <w:rPr>
                <w:rFonts w:hint="eastAsia" w:eastAsiaTheme="minor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545" w:type="dxa"/>
            <w:vAlign w:val="center"/>
          </w:tcPr>
          <w:p>
            <w:pPr>
              <w:pStyle w:val="12"/>
            </w:pPr>
            <w:r>
              <w:t>≥95%</w:t>
            </w:r>
          </w:p>
        </w:tc>
        <w:tc>
          <w:tcPr>
            <w:tcW w:w="1999" w:type="dxa"/>
            <w:vAlign w:val="center"/>
          </w:tcPr>
          <w:p>
            <w:pPr>
              <w:pStyle w:val="12"/>
            </w:pPr>
            <w:r>
              <w:t>依据</w:t>
            </w:r>
            <w:r>
              <w:rPr>
                <w:rFonts w:hint="eastAsia" w:eastAsiaTheme="minorEastAsia"/>
                <w:lang w:eastAsia="zh-CN"/>
              </w:rPr>
              <w:t>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2、政协会议项目经费绩效目标表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13063424P00UEY010003U</w:t>
            </w:r>
          </w:p>
        </w:tc>
        <w:tc>
          <w:tcPr>
            <w:tcW w:w="2835" w:type="dxa"/>
            <w:vAlign w:val="center"/>
          </w:tcPr>
          <w:p>
            <w:pPr>
              <w:pStyle w:val="10"/>
            </w:pPr>
            <w:r>
              <w:t>项目名称</w:t>
            </w:r>
          </w:p>
        </w:tc>
        <w:tc>
          <w:tcPr>
            <w:tcW w:w="6095" w:type="dxa"/>
            <w:gridSpan w:val="3"/>
            <w:vAlign w:val="center"/>
          </w:tcPr>
          <w:p>
            <w:pPr>
              <w:pStyle w:val="12"/>
            </w:pPr>
            <w:r>
              <w:t>政协会议项目经费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预算数300000万元，其中县级资金300000万元，主要用于政协会议召开期间发生的各项费用，保障政协全会顺利完成各项任务。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1.通过政协会议的召开，圆满完成既定的政治任务，大会期间委员积极建言献策，为加快建设现代化中国雕刻文化名城贡献政协智慧和力量。</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0" w:type="dxa"/>
            <w:vAlign w:val="center"/>
          </w:tcPr>
          <w:p>
            <w:pPr>
              <w:pStyle w:val="10"/>
            </w:pPr>
            <w:r>
              <w:t>指标值</w:t>
            </w:r>
          </w:p>
        </w:tc>
        <w:tc>
          <w:tcPr>
            <w:tcW w:w="18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政协会议参加人数</w:t>
            </w:r>
          </w:p>
        </w:tc>
        <w:tc>
          <w:tcPr>
            <w:tcW w:w="5386" w:type="dxa"/>
            <w:vAlign w:val="center"/>
          </w:tcPr>
          <w:p>
            <w:pPr>
              <w:pStyle w:val="12"/>
            </w:pPr>
            <w:r>
              <w:t>政协会议参加人数</w:t>
            </w:r>
          </w:p>
        </w:tc>
        <w:tc>
          <w:tcPr>
            <w:tcW w:w="1650" w:type="dxa"/>
            <w:vAlign w:val="center"/>
          </w:tcPr>
          <w:p>
            <w:pPr>
              <w:pStyle w:val="12"/>
            </w:pPr>
            <w:r>
              <w:t>260人</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政协委员出勤率</w:t>
            </w:r>
          </w:p>
        </w:tc>
        <w:tc>
          <w:tcPr>
            <w:tcW w:w="5386" w:type="dxa"/>
            <w:vAlign w:val="center"/>
          </w:tcPr>
          <w:p>
            <w:pPr>
              <w:pStyle w:val="12"/>
            </w:pPr>
            <w:r>
              <w:t>政协委员出勤率</w:t>
            </w:r>
          </w:p>
        </w:tc>
        <w:tc>
          <w:tcPr>
            <w:tcW w:w="1650" w:type="dxa"/>
            <w:vAlign w:val="center"/>
          </w:tcPr>
          <w:p>
            <w:pPr>
              <w:pStyle w:val="12"/>
            </w:pPr>
            <w:r>
              <w:t>≥95%</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政协会议完成时间</w:t>
            </w:r>
          </w:p>
        </w:tc>
        <w:tc>
          <w:tcPr>
            <w:tcW w:w="5386" w:type="dxa"/>
            <w:vAlign w:val="center"/>
          </w:tcPr>
          <w:p>
            <w:pPr>
              <w:pStyle w:val="12"/>
            </w:pPr>
            <w:r>
              <w:t>政协会议完成时间</w:t>
            </w:r>
          </w:p>
        </w:tc>
        <w:tc>
          <w:tcPr>
            <w:tcW w:w="1650" w:type="dxa"/>
            <w:vAlign w:val="center"/>
          </w:tcPr>
          <w:p>
            <w:pPr>
              <w:pStyle w:val="12"/>
            </w:pPr>
            <w:r>
              <w:t>2月底</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人均参会成本</w:t>
            </w:r>
          </w:p>
        </w:tc>
        <w:tc>
          <w:tcPr>
            <w:tcW w:w="5386" w:type="dxa"/>
            <w:vAlign w:val="center"/>
          </w:tcPr>
          <w:p>
            <w:pPr>
              <w:pStyle w:val="12"/>
            </w:pPr>
            <w:r>
              <w:t>每人每天参加政协全会成本</w:t>
            </w:r>
          </w:p>
        </w:tc>
        <w:tc>
          <w:tcPr>
            <w:tcW w:w="1650" w:type="dxa"/>
            <w:vAlign w:val="center"/>
          </w:tcPr>
          <w:p>
            <w:pPr>
              <w:pStyle w:val="12"/>
            </w:pPr>
            <w:r>
              <w:t>≤450元</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委员提出意见</w:t>
            </w:r>
          </w:p>
          <w:p>
            <w:pPr>
              <w:pStyle w:val="12"/>
            </w:pPr>
            <w:r>
              <w:t>建议的办理率</w:t>
            </w:r>
          </w:p>
        </w:tc>
        <w:tc>
          <w:tcPr>
            <w:tcW w:w="5386" w:type="dxa"/>
            <w:vAlign w:val="center"/>
          </w:tcPr>
          <w:p>
            <w:pPr>
              <w:pStyle w:val="12"/>
            </w:pPr>
            <w:r>
              <w:t>委员提出意见</w:t>
            </w:r>
          </w:p>
          <w:p>
            <w:pPr>
              <w:pStyle w:val="12"/>
            </w:pPr>
            <w:r>
              <w:t>建议的办理率</w:t>
            </w:r>
          </w:p>
        </w:tc>
        <w:tc>
          <w:tcPr>
            <w:tcW w:w="1650" w:type="dxa"/>
            <w:vAlign w:val="center"/>
          </w:tcPr>
          <w:p>
            <w:pPr>
              <w:pStyle w:val="12"/>
            </w:pPr>
            <w:r>
              <w:t>≥90%</w:t>
            </w:r>
          </w:p>
        </w:tc>
        <w:tc>
          <w:tcPr>
            <w:tcW w:w="18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50" w:type="dxa"/>
            <w:vAlign w:val="center"/>
          </w:tcPr>
          <w:p>
            <w:pPr>
              <w:pStyle w:val="12"/>
            </w:pPr>
            <w:r>
              <w:t>≥95%</w:t>
            </w:r>
          </w:p>
        </w:tc>
        <w:tc>
          <w:tcPr>
            <w:tcW w:w="189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3、政协机关劳务派遣人员经费绩效目标表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13063424P002K2610004D</w:t>
            </w:r>
          </w:p>
        </w:tc>
        <w:tc>
          <w:tcPr>
            <w:tcW w:w="2835" w:type="dxa"/>
            <w:vAlign w:val="center"/>
          </w:tcPr>
          <w:p>
            <w:pPr>
              <w:pStyle w:val="10"/>
            </w:pPr>
            <w:r>
              <w:t>项目名称</w:t>
            </w:r>
          </w:p>
        </w:tc>
        <w:tc>
          <w:tcPr>
            <w:tcW w:w="6095" w:type="dxa"/>
            <w:gridSpan w:val="3"/>
            <w:vAlign w:val="center"/>
          </w:tcPr>
          <w:p>
            <w:pPr>
              <w:pStyle w:val="12"/>
            </w:pPr>
            <w:r>
              <w:t>政协机关劳务派遣人员经费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预算数4.5万元，其中县级资金4.5万元主要用于发放劳务派遣人员工资、缴纳保险，保障劳务派遣人员正常工作和生活需要。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1.13</w:t>
            </w:r>
          </w:p>
        </w:tc>
        <w:tc>
          <w:tcPr>
            <w:tcW w:w="2835" w:type="dxa"/>
            <w:vAlign w:val="center"/>
          </w:tcPr>
          <w:p>
            <w:pPr>
              <w:pStyle w:val="13"/>
            </w:pPr>
            <w:r>
              <w:t>2.25</w:t>
            </w:r>
          </w:p>
        </w:tc>
        <w:tc>
          <w:tcPr>
            <w:tcW w:w="2551" w:type="dxa"/>
            <w:vAlign w:val="center"/>
          </w:tcPr>
          <w:p>
            <w:pPr>
              <w:pStyle w:val="13"/>
            </w:pPr>
            <w:r>
              <w:t>3.38</w:t>
            </w:r>
          </w:p>
        </w:tc>
        <w:tc>
          <w:tcPr>
            <w:tcW w:w="3544" w:type="dxa"/>
            <w:gridSpan w:val="2"/>
            <w:vAlign w:val="center"/>
          </w:tcPr>
          <w:p>
            <w:pPr>
              <w:pStyle w:val="13"/>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95"/>
        <w:gridCol w:w="2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95" w:type="dxa"/>
            <w:vAlign w:val="center"/>
          </w:tcPr>
          <w:p>
            <w:pPr>
              <w:pStyle w:val="10"/>
            </w:pPr>
            <w:r>
              <w:t>指标值</w:t>
            </w:r>
          </w:p>
        </w:tc>
        <w:tc>
          <w:tcPr>
            <w:tcW w:w="214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395" w:type="dxa"/>
            <w:vAlign w:val="center"/>
          </w:tcPr>
          <w:p>
            <w:pPr>
              <w:pStyle w:val="12"/>
            </w:pPr>
            <w:r>
              <w:t>1人</w:t>
            </w:r>
          </w:p>
        </w:tc>
        <w:tc>
          <w:tcPr>
            <w:tcW w:w="21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395" w:type="dxa"/>
            <w:vAlign w:val="center"/>
          </w:tcPr>
          <w:p>
            <w:pPr>
              <w:pStyle w:val="12"/>
            </w:pPr>
            <w:r>
              <w:t>100%</w:t>
            </w:r>
          </w:p>
        </w:tc>
        <w:tc>
          <w:tcPr>
            <w:tcW w:w="21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395" w:type="dxa"/>
            <w:vAlign w:val="center"/>
          </w:tcPr>
          <w:p>
            <w:pPr>
              <w:pStyle w:val="12"/>
            </w:pPr>
            <w:r>
              <w:t>100%</w:t>
            </w:r>
          </w:p>
        </w:tc>
        <w:tc>
          <w:tcPr>
            <w:tcW w:w="21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395" w:type="dxa"/>
            <w:vAlign w:val="center"/>
          </w:tcPr>
          <w:p>
            <w:pPr>
              <w:pStyle w:val="12"/>
            </w:pPr>
            <w:r>
              <w:t>≥3500元/月</w:t>
            </w:r>
          </w:p>
        </w:tc>
        <w:tc>
          <w:tcPr>
            <w:tcW w:w="21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劳务派遣人员尽职尽责率</w:t>
            </w:r>
          </w:p>
        </w:tc>
        <w:tc>
          <w:tcPr>
            <w:tcW w:w="5386" w:type="dxa"/>
            <w:vAlign w:val="center"/>
          </w:tcPr>
          <w:p>
            <w:pPr>
              <w:pStyle w:val="12"/>
            </w:pPr>
            <w:r>
              <w:t>劳务派遣人员尽职尽责率</w:t>
            </w:r>
          </w:p>
        </w:tc>
        <w:tc>
          <w:tcPr>
            <w:tcW w:w="1395" w:type="dxa"/>
            <w:vAlign w:val="center"/>
          </w:tcPr>
          <w:p>
            <w:pPr>
              <w:pStyle w:val="12"/>
            </w:pPr>
            <w:r>
              <w:t>≥95%</w:t>
            </w:r>
          </w:p>
        </w:tc>
        <w:tc>
          <w:tcPr>
            <w:tcW w:w="214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395" w:type="dxa"/>
            <w:vAlign w:val="center"/>
          </w:tcPr>
          <w:p>
            <w:pPr>
              <w:pStyle w:val="12"/>
            </w:pPr>
            <w:r>
              <w:t>≥98%</w:t>
            </w:r>
          </w:p>
        </w:tc>
        <w:tc>
          <w:tcPr>
            <w:tcW w:w="214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4、政协机关涉军公益岗人员经费绩效目标表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13063424P004297100020</w:t>
            </w:r>
          </w:p>
        </w:tc>
        <w:tc>
          <w:tcPr>
            <w:tcW w:w="2835" w:type="dxa"/>
            <w:vAlign w:val="center"/>
          </w:tcPr>
          <w:p>
            <w:pPr>
              <w:pStyle w:val="10"/>
            </w:pPr>
            <w:r>
              <w:t>项目名称</w:t>
            </w:r>
          </w:p>
        </w:tc>
        <w:tc>
          <w:tcPr>
            <w:tcW w:w="6095" w:type="dxa"/>
            <w:gridSpan w:val="3"/>
            <w:vAlign w:val="center"/>
          </w:tcPr>
          <w:p>
            <w:pPr>
              <w:pStyle w:val="12"/>
            </w:pPr>
            <w:r>
              <w:t>政协机关涉军公益岗人员经费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w:t>
            </w:r>
          </w:p>
        </w:tc>
        <w:tc>
          <w:tcPr>
            <w:tcW w:w="2835" w:type="dxa"/>
            <w:vAlign w:val="center"/>
          </w:tcPr>
          <w:p>
            <w:pPr>
              <w:pStyle w:val="10"/>
            </w:pPr>
            <w:r>
              <w:t>其中：财政    资金</w:t>
            </w:r>
          </w:p>
        </w:tc>
        <w:tc>
          <w:tcPr>
            <w:tcW w:w="2551" w:type="dxa"/>
            <w:vAlign w:val="center"/>
          </w:tcPr>
          <w:p>
            <w:pPr>
              <w:pStyle w:val="12"/>
            </w:pPr>
            <w:r>
              <w:t>6.80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预算数6.8万元，其中县级资金6.8万元，主要用于发放涉军公益岗人员工资及保险，保障涉军公益岗人员的基本生活。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1.70</w:t>
            </w:r>
          </w:p>
        </w:tc>
        <w:tc>
          <w:tcPr>
            <w:tcW w:w="2835" w:type="dxa"/>
            <w:vAlign w:val="center"/>
          </w:tcPr>
          <w:p>
            <w:pPr>
              <w:pStyle w:val="13"/>
            </w:pPr>
            <w:r>
              <w:t>3.40</w:t>
            </w:r>
          </w:p>
        </w:tc>
        <w:tc>
          <w:tcPr>
            <w:tcW w:w="2551" w:type="dxa"/>
            <w:vAlign w:val="center"/>
          </w:tcPr>
          <w:p>
            <w:pPr>
              <w:pStyle w:val="13"/>
            </w:pPr>
            <w:r>
              <w:t>5.10</w:t>
            </w:r>
          </w:p>
        </w:tc>
        <w:tc>
          <w:tcPr>
            <w:tcW w:w="3544" w:type="dxa"/>
            <w:gridSpan w:val="2"/>
            <w:vAlign w:val="center"/>
          </w:tcPr>
          <w:p>
            <w:pPr>
              <w:pStyle w:val="13"/>
            </w:pPr>
            <w:r>
              <w:t>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1.通过按月发放工资及保险，保障涉军公益岗人员的基本生活，提升公益岗人员业务能力，使其更好地完成各项工作任务。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15" w:type="dxa"/>
            <w:vAlign w:val="center"/>
          </w:tcPr>
          <w:p>
            <w:pPr>
              <w:pStyle w:val="10"/>
            </w:pPr>
            <w:r>
              <w:t>指标值</w:t>
            </w:r>
          </w:p>
        </w:tc>
        <w:tc>
          <w:tcPr>
            <w:tcW w:w="20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515" w:type="dxa"/>
            <w:vAlign w:val="center"/>
          </w:tcPr>
          <w:p>
            <w:pPr>
              <w:pStyle w:val="12"/>
            </w:pPr>
            <w:r>
              <w:t>2人</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515" w:type="dxa"/>
            <w:vAlign w:val="center"/>
          </w:tcPr>
          <w:p>
            <w:pPr>
              <w:pStyle w:val="12"/>
            </w:pPr>
            <w:r>
              <w:t>100%</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515" w:type="dxa"/>
            <w:vAlign w:val="center"/>
          </w:tcPr>
          <w:p>
            <w:pPr>
              <w:pStyle w:val="12"/>
            </w:pPr>
            <w:r>
              <w:t>≥95%</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515" w:type="dxa"/>
            <w:vAlign w:val="center"/>
          </w:tcPr>
          <w:p>
            <w:pPr>
              <w:pStyle w:val="12"/>
            </w:pPr>
            <w:r>
              <w:t>≥2300元</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1515" w:type="dxa"/>
            <w:vAlign w:val="center"/>
          </w:tcPr>
          <w:p>
            <w:pPr>
              <w:pStyle w:val="12"/>
            </w:pPr>
            <w:r>
              <w:t>≥95%</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515" w:type="dxa"/>
            <w:vAlign w:val="center"/>
          </w:tcPr>
          <w:p>
            <w:pPr>
              <w:pStyle w:val="12"/>
            </w:pPr>
            <w:r>
              <w:t>≥95%</w:t>
            </w:r>
          </w:p>
        </w:tc>
        <w:tc>
          <w:tcPr>
            <w:tcW w:w="20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40.80</w:t>
            </w:r>
          </w:p>
        </w:tc>
        <w:tc>
          <w:tcPr>
            <w:tcW w:w="964" w:type="dxa"/>
            <w:vAlign w:val="center"/>
          </w:tcPr>
          <w:p>
            <w:pPr>
              <w:pStyle w:val="15"/>
            </w:pPr>
            <w:r>
              <w:t>40.80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中国人民政治协商会议河北省曲阳县委员会办公室本级小计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40.80</w:t>
            </w:r>
          </w:p>
        </w:tc>
        <w:tc>
          <w:tcPr>
            <w:tcW w:w="964" w:type="dxa"/>
            <w:vAlign w:val="center"/>
          </w:tcPr>
          <w:p>
            <w:pPr>
              <w:pStyle w:val="15"/>
            </w:pPr>
            <w:r>
              <w:t>40.80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15.92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15.92</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政协机关专项公用运转保障经费</w:t>
            </w:r>
          </w:p>
        </w:tc>
        <w:tc>
          <w:tcPr>
            <w:tcW w:w="964" w:type="dxa"/>
            <w:vAlign w:val="center"/>
          </w:tcPr>
          <w:p>
            <w:pPr>
              <w:pStyle w:val="11"/>
            </w:pPr>
            <w:r>
              <w:t>15.70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政协机关专项公用运转保障经费</w:t>
            </w:r>
          </w:p>
        </w:tc>
        <w:tc>
          <w:tcPr>
            <w:tcW w:w="964" w:type="dxa"/>
            <w:vAlign w:val="center"/>
          </w:tcPr>
          <w:p>
            <w:pPr>
              <w:pStyle w:val="11"/>
            </w:pPr>
            <w:r>
              <w:t>15.70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政协机关专项公用运转保障经费</w:t>
            </w:r>
          </w:p>
        </w:tc>
        <w:tc>
          <w:tcPr>
            <w:tcW w:w="964" w:type="dxa"/>
            <w:vAlign w:val="center"/>
          </w:tcPr>
          <w:p>
            <w:pPr>
              <w:pStyle w:val="11"/>
            </w:pPr>
            <w:r>
              <w:t>15.70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政协会议项目经费</w:t>
            </w:r>
          </w:p>
        </w:tc>
        <w:tc>
          <w:tcPr>
            <w:tcW w:w="964" w:type="dxa"/>
            <w:vAlign w:val="center"/>
          </w:tcPr>
          <w:p>
            <w:pPr>
              <w:pStyle w:val="11"/>
            </w:pPr>
            <w:r>
              <w:t>30.00</w:t>
            </w:r>
          </w:p>
        </w:tc>
        <w:tc>
          <w:tcPr>
            <w:tcW w:w="1134" w:type="dxa"/>
            <w:vAlign w:val="center"/>
          </w:tcPr>
          <w:p>
            <w:pPr>
              <w:pStyle w:val="12"/>
            </w:pPr>
            <w:r>
              <w:t>大型会议服务</w:t>
            </w:r>
          </w:p>
        </w:tc>
        <w:tc>
          <w:tcPr>
            <w:tcW w:w="1134" w:type="dxa"/>
            <w:vAlign w:val="center"/>
          </w:tcPr>
          <w:p>
            <w:pPr>
              <w:pStyle w:val="12"/>
            </w:pPr>
            <w:r>
              <w:t>C22010100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中国人民政治协商会议河北省曲阳县委员会（含所属单位）上年末固定资产金额为77.76万元（详见下表）。本年度拟购置固定资产总额为0.00万元，已按要求列入政府采购预算，详见政府采购预算表。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131中国人民政治协商会议河北省曲阳县委员会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80</w:t>
            </w:r>
          </w:p>
        </w:tc>
        <w:tc>
          <w:tcPr>
            <w:tcW w:w="2835" w:type="dxa"/>
            <w:vAlign w:val="center"/>
          </w:tcPr>
          <w:p>
            <w:pPr>
              <w:pStyle w:val="11"/>
            </w:pPr>
            <w:r>
              <w:t>22.09</w:t>
            </w: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7B"/>
    <w:rsid w:val="00076F7B"/>
    <w:rsid w:val="000A4618"/>
    <w:rsid w:val="000F6EFF"/>
    <w:rsid w:val="0011586B"/>
    <w:rsid w:val="001C70B1"/>
    <w:rsid w:val="0034032D"/>
    <w:rsid w:val="005F7425"/>
    <w:rsid w:val="008515CF"/>
    <w:rsid w:val="00915C2A"/>
    <w:rsid w:val="00B64E17"/>
    <w:rsid w:val="0D89668B"/>
    <w:rsid w:val="1FD86672"/>
    <w:rsid w:val="35962CD3"/>
    <w:rsid w:val="3AF37043"/>
    <w:rsid w:val="40FA4549"/>
    <w:rsid w:val="5444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2024-02-21T16:14:09Z</dcterms:created>
  <dcterms:modified xsi:type="dcterms:W3CDTF">2024-02-21T08:14:09Z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2024-02-21T16:14:11Z</dcterms:created>
  <dcterms:modified xsi:type="dcterms:W3CDTF">2024-02-21T08:14:11Z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2024-02-21T16:14:11Z</dcterms:created>
  <dcterms:modified xsi:type="dcterms:W3CDTF">2024-02-21T08:14:11Z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2024-02-21T16:14:11Z</dcterms:created>
  <dcterms:modified xsi:type="dcterms:W3CDTF">2024-02-21T08:14:11Z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2024-02-21T16:14:11Z</dcterms:created>
  <dcterms:modified xsi:type="dcterms:W3CDTF">2024-02-21T08:14:11Z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2024-02-21T16:14:11Z</dcterms:created>
  <dcterms:modified xsi:type="dcterms:W3CDTF">2024-02-21T08:14:11Z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2024-02-21T16:14:12Z</dcterms:created>
  <dcterms:modified xsi:type="dcterms:W3CDTF">2024-02-21T08:14:12Z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2024-02-21T16:14:12Z</dcterms:created>
  <dcterms:modified xsi:type="dcterms:W3CDTF">2024-02-21T08:14:12Z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D3389D1-33CF-47B4-9988-4B90A77D89E9}">
  <ds:schemaRefs/>
</ds:datastoreItem>
</file>

<file path=customXml/itemProps11.xml><?xml version="1.0" encoding="utf-8"?>
<ds:datastoreItem xmlns:ds="http://schemas.openxmlformats.org/officeDocument/2006/customXml" ds:itemID="{4DBDDB4A-8599-42EE-8A63-9B559AB3266F}">
  <ds:schemaRefs/>
</ds:datastoreItem>
</file>

<file path=customXml/itemProps12.xml><?xml version="1.0" encoding="utf-8"?>
<ds:datastoreItem xmlns:ds="http://schemas.openxmlformats.org/officeDocument/2006/customXml" ds:itemID="{0191754F-891E-4766-BE6D-3C13DECA7909}">
  <ds:schemaRefs/>
</ds:datastoreItem>
</file>

<file path=customXml/itemProps13.xml><?xml version="1.0" encoding="utf-8"?>
<ds:datastoreItem xmlns:ds="http://schemas.openxmlformats.org/officeDocument/2006/customXml" ds:itemID="{79FF335F-2626-4A61-A5F0-36CA99D696C3}">
  <ds:schemaRefs/>
</ds:datastoreItem>
</file>

<file path=customXml/itemProps14.xml><?xml version="1.0" encoding="utf-8"?>
<ds:datastoreItem xmlns:ds="http://schemas.openxmlformats.org/officeDocument/2006/customXml" ds:itemID="{5BD3A44C-2E57-4EF2-B230-DF212BB6E41F}">
  <ds:schemaRefs/>
</ds:datastoreItem>
</file>

<file path=customXml/itemProps15.xml><?xml version="1.0" encoding="utf-8"?>
<ds:datastoreItem xmlns:ds="http://schemas.openxmlformats.org/officeDocument/2006/customXml" ds:itemID="{0642BA4C-AEBA-4AD7-9BDD-5604A990EC34}">
  <ds:schemaRefs/>
</ds:datastoreItem>
</file>

<file path=customXml/itemProps16.xml><?xml version="1.0" encoding="utf-8"?>
<ds:datastoreItem xmlns:ds="http://schemas.openxmlformats.org/officeDocument/2006/customXml" ds:itemID="{F786B3E1-1DEF-4EAE-8400-1EDE6EC10337}">
  <ds:schemaRefs/>
</ds:datastoreItem>
</file>

<file path=customXml/itemProps17.xml><?xml version="1.0" encoding="utf-8"?>
<ds:datastoreItem xmlns:ds="http://schemas.openxmlformats.org/officeDocument/2006/customXml" ds:itemID="{B851F0C2-7FE0-4187-B895-786C875B2A64}">
  <ds:schemaRefs/>
</ds:datastoreItem>
</file>

<file path=customXml/itemProps2.xml><?xml version="1.0" encoding="utf-8"?>
<ds:datastoreItem xmlns:ds="http://schemas.openxmlformats.org/officeDocument/2006/customXml" ds:itemID="{CE1CBAE5-1E31-4A26-87E1-9D99AD61FC73}">
  <ds:schemaRefs/>
</ds:datastoreItem>
</file>

<file path=customXml/itemProps3.xml><?xml version="1.0" encoding="utf-8"?>
<ds:datastoreItem xmlns:ds="http://schemas.openxmlformats.org/officeDocument/2006/customXml" ds:itemID="{F78CDFA6-A839-4F4B-8535-D8AA2ECB14F8}">
  <ds:schemaRefs/>
</ds:datastoreItem>
</file>

<file path=customXml/itemProps4.xml><?xml version="1.0" encoding="utf-8"?>
<ds:datastoreItem xmlns:ds="http://schemas.openxmlformats.org/officeDocument/2006/customXml" ds:itemID="{7EC6EC9A-A552-4A4B-8AD4-81C150680F84}">
  <ds:schemaRefs/>
</ds:datastoreItem>
</file>

<file path=customXml/itemProps5.xml><?xml version="1.0" encoding="utf-8"?>
<ds:datastoreItem xmlns:ds="http://schemas.openxmlformats.org/officeDocument/2006/customXml" ds:itemID="{AE5582A5-0E7F-4295-9746-08F7E25785F7}">
  <ds:schemaRefs/>
</ds:datastoreItem>
</file>

<file path=customXml/itemProps6.xml><?xml version="1.0" encoding="utf-8"?>
<ds:datastoreItem xmlns:ds="http://schemas.openxmlformats.org/officeDocument/2006/customXml" ds:itemID="{E4EE0CC5-9F59-4881-8DBF-1981E7F97AEB}">
  <ds:schemaRefs/>
</ds:datastoreItem>
</file>

<file path=customXml/itemProps7.xml><?xml version="1.0" encoding="utf-8"?>
<ds:datastoreItem xmlns:ds="http://schemas.openxmlformats.org/officeDocument/2006/customXml" ds:itemID="{9388032F-9669-48FB-AA13-C731089FA879}">
  <ds:schemaRefs/>
</ds:datastoreItem>
</file>

<file path=customXml/itemProps8.xml><?xml version="1.0" encoding="utf-8"?>
<ds:datastoreItem xmlns:ds="http://schemas.openxmlformats.org/officeDocument/2006/customXml" ds:itemID="{3A584B22-E904-41EF-BED9-25AF7CDF734B}">
  <ds:schemaRefs/>
</ds:datastoreItem>
</file>

<file path=customXml/itemProps9.xml><?xml version="1.0" encoding="utf-8"?>
<ds:datastoreItem xmlns:ds="http://schemas.openxmlformats.org/officeDocument/2006/customXml" ds:itemID="{B274C604-90CD-4BCA-BEED-1FAEED6AA61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2272</Words>
  <Characters>12957</Characters>
  <Lines>107</Lines>
  <Paragraphs>30</Paragraphs>
  <TotalTime>4</TotalTime>
  <ScaleCrop>false</ScaleCrop>
  <LinksUpToDate>false</LinksUpToDate>
  <CharactersWithSpaces>15199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2024-02-21T08:12:00Z</dcterms:created>
  <dc:creator>Administrator</dc:creator>
  <cp:lastModifiedBy>6665</cp:lastModifiedBy>
  <dcterms:modified xsi:type="dcterms:W3CDTF">2025-02-18T09:45:40Z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