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238.24</w:t>
            </w:r>
          </w:p>
        </w:tc>
        <w:tc>
          <w:tcPr>
            <w:tcW w:w="4535" w:type="dxa"/>
            <w:vAlign w:val="center"/>
          </w:tcPr>
          <w:p>
            <w:pPr>
              <w:pStyle w:val="13"/>
            </w:pPr>
            <w:r>
              <w:t>一、一般公共服务支出</w:t>
            </w:r>
          </w:p>
        </w:tc>
        <w:tc>
          <w:tcPr>
            <w:tcW w:w="2126" w:type="dxa"/>
            <w:vAlign w:val="center"/>
          </w:tcPr>
          <w:p>
            <w:pPr>
              <w:pStyle w:val="12"/>
            </w:pPr>
            <w:r>
              <w:t>97.70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26.37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238.24</w:t>
            </w:r>
          </w:p>
        </w:tc>
        <w:tc>
          <w:tcPr>
            <w:tcW w:w="4535" w:type="dxa"/>
            <w:vAlign w:val="center"/>
          </w:tcPr>
          <w:p>
            <w:pPr>
              <w:pStyle w:val="15"/>
            </w:pPr>
            <w:r>
              <w:t>本年支出合计</w:t>
            </w:r>
          </w:p>
        </w:tc>
        <w:tc>
          <w:tcPr>
            <w:tcW w:w="2126" w:type="dxa"/>
            <w:vAlign w:val="center"/>
          </w:tcPr>
          <w:p>
            <w:pPr>
              <w:pStyle w:val="16"/>
            </w:pPr>
            <w:r>
              <w:t>238.24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238.24</w:t>
            </w:r>
          </w:p>
        </w:tc>
        <w:tc>
          <w:tcPr>
            <w:tcW w:w="4535" w:type="dxa"/>
            <w:vAlign w:val="center"/>
          </w:tcPr>
          <w:p>
            <w:pPr>
              <w:pStyle w:val="15"/>
            </w:pPr>
            <w:r>
              <w:t>支出总计</w:t>
            </w:r>
          </w:p>
        </w:tc>
        <w:tc>
          <w:tcPr>
            <w:tcW w:w="2126" w:type="dxa"/>
            <w:vAlign w:val="center"/>
          </w:tcPr>
          <w:p>
            <w:pPr>
              <w:pStyle w:val="16"/>
            </w:pPr>
            <w:r>
              <w:t>238.24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238.24</w:t>
            </w:r>
          </w:p>
        </w:tc>
        <w:tc>
          <w:tcPr>
            <w:tcW w:w="1134" w:type="dxa"/>
            <w:vAlign w:val="center"/>
          </w:tcPr>
          <w:p>
            <w:pPr>
              <w:pStyle w:val="16"/>
            </w:pPr>
            <w:r>
              <w:t>238.24</w:t>
            </w:r>
          </w:p>
        </w:tc>
        <w:tc>
          <w:tcPr>
            <w:tcW w:w="1134" w:type="dxa"/>
            <w:vAlign w:val="center"/>
          </w:tcPr>
          <w:p>
            <w:pPr>
              <w:pStyle w:val="16"/>
            </w:pPr>
            <w:r>
              <w:t>238.24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97.70</w:t>
            </w:r>
          </w:p>
        </w:tc>
        <w:tc>
          <w:tcPr>
            <w:tcW w:w="1134" w:type="dxa"/>
            <w:vAlign w:val="center"/>
          </w:tcPr>
          <w:p>
            <w:pPr>
              <w:pStyle w:val="12"/>
            </w:pPr>
            <w:r>
              <w:t>97.70</w:t>
            </w:r>
          </w:p>
        </w:tc>
        <w:tc>
          <w:tcPr>
            <w:tcW w:w="1134" w:type="dxa"/>
            <w:vAlign w:val="center"/>
          </w:tcPr>
          <w:p>
            <w:pPr>
              <w:pStyle w:val="12"/>
            </w:pPr>
            <w:r>
              <w:t>97.70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97.70</w:t>
            </w:r>
          </w:p>
        </w:tc>
        <w:tc>
          <w:tcPr>
            <w:tcW w:w="1134" w:type="dxa"/>
            <w:vAlign w:val="center"/>
          </w:tcPr>
          <w:p>
            <w:pPr>
              <w:pStyle w:val="12"/>
            </w:pPr>
            <w:r>
              <w:t>97.70</w:t>
            </w:r>
          </w:p>
        </w:tc>
        <w:tc>
          <w:tcPr>
            <w:tcW w:w="1134" w:type="dxa"/>
            <w:vAlign w:val="center"/>
          </w:tcPr>
          <w:p>
            <w:pPr>
              <w:pStyle w:val="12"/>
            </w:pPr>
            <w:r>
              <w:t>97.70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48.01</w:t>
            </w:r>
          </w:p>
        </w:tc>
        <w:tc>
          <w:tcPr>
            <w:tcW w:w="1134" w:type="dxa"/>
            <w:vAlign w:val="center"/>
          </w:tcPr>
          <w:p>
            <w:pPr>
              <w:pStyle w:val="12"/>
            </w:pPr>
            <w:r>
              <w:t>48.01</w:t>
            </w:r>
          </w:p>
        </w:tc>
        <w:tc>
          <w:tcPr>
            <w:tcW w:w="1134" w:type="dxa"/>
            <w:vAlign w:val="center"/>
          </w:tcPr>
          <w:p>
            <w:pPr>
              <w:pStyle w:val="12"/>
            </w:pPr>
            <w:r>
              <w:t>48.01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49.69</w:t>
            </w:r>
          </w:p>
        </w:tc>
        <w:tc>
          <w:tcPr>
            <w:tcW w:w="1134" w:type="dxa"/>
            <w:vAlign w:val="center"/>
          </w:tcPr>
          <w:p>
            <w:pPr>
              <w:pStyle w:val="12"/>
            </w:pPr>
            <w:r>
              <w:t>49.69</w:t>
            </w:r>
          </w:p>
        </w:tc>
        <w:tc>
          <w:tcPr>
            <w:tcW w:w="1134" w:type="dxa"/>
            <w:vAlign w:val="center"/>
          </w:tcPr>
          <w:p>
            <w:pPr>
              <w:pStyle w:val="12"/>
            </w:pPr>
            <w:r>
              <w:t>49.69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26.37</w:t>
            </w:r>
          </w:p>
        </w:tc>
        <w:tc>
          <w:tcPr>
            <w:tcW w:w="1134" w:type="dxa"/>
            <w:vAlign w:val="center"/>
          </w:tcPr>
          <w:p>
            <w:pPr>
              <w:pStyle w:val="12"/>
            </w:pPr>
            <w:r>
              <w:t>26.37</w:t>
            </w:r>
          </w:p>
        </w:tc>
        <w:tc>
          <w:tcPr>
            <w:tcW w:w="1134" w:type="dxa"/>
            <w:vAlign w:val="center"/>
          </w:tcPr>
          <w:p>
            <w:pPr>
              <w:pStyle w:val="12"/>
            </w:pPr>
            <w:r>
              <w:t>26.37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26.37</w:t>
            </w:r>
          </w:p>
        </w:tc>
        <w:tc>
          <w:tcPr>
            <w:tcW w:w="1134" w:type="dxa"/>
            <w:vAlign w:val="center"/>
          </w:tcPr>
          <w:p>
            <w:pPr>
              <w:pStyle w:val="12"/>
            </w:pPr>
            <w:r>
              <w:t>26.37</w:t>
            </w:r>
          </w:p>
        </w:tc>
        <w:tc>
          <w:tcPr>
            <w:tcW w:w="1134" w:type="dxa"/>
            <w:vAlign w:val="center"/>
          </w:tcPr>
          <w:p>
            <w:pPr>
              <w:pStyle w:val="12"/>
            </w:pPr>
            <w:r>
              <w:t>26.37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14.91</w:t>
            </w:r>
          </w:p>
        </w:tc>
        <w:tc>
          <w:tcPr>
            <w:tcW w:w="1134" w:type="dxa"/>
            <w:vAlign w:val="center"/>
          </w:tcPr>
          <w:p>
            <w:pPr>
              <w:pStyle w:val="12"/>
            </w:pPr>
            <w:r>
              <w:t>14.91</w:t>
            </w:r>
          </w:p>
        </w:tc>
        <w:tc>
          <w:tcPr>
            <w:tcW w:w="1134" w:type="dxa"/>
            <w:vAlign w:val="center"/>
          </w:tcPr>
          <w:p>
            <w:pPr>
              <w:pStyle w:val="12"/>
            </w:pPr>
            <w:r>
              <w:t>14.91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11.46</w:t>
            </w:r>
          </w:p>
        </w:tc>
        <w:tc>
          <w:tcPr>
            <w:tcW w:w="1134" w:type="dxa"/>
            <w:vAlign w:val="center"/>
          </w:tcPr>
          <w:p>
            <w:pPr>
              <w:pStyle w:val="12"/>
            </w:pPr>
            <w:r>
              <w:t>11.46</w:t>
            </w:r>
          </w:p>
        </w:tc>
        <w:tc>
          <w:tcPr>
            <w:tcW w:w="1134" w:type="dxa"/>
            <w:vAlign w:val="center"/>
          </w:tcPr>
          <w:p>
            <w:pPr>
              <w:pStyle w:val="12"/>
            </w:pPr>
            <w:r>
              <w:t>11.46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5.61</w:t>
            </w:r>
          </w:p>
        </w:tc>
        <w:tc>
          <w:tcPr>
            <w:tcW w:w="1134" w:type="dxa"/>
            <w:vAlign w:val="center"/>
          </w:tcPr>
          <w:p>
            <w:pPr>
              <w:pStyle w:val="12"/>
            </w:pPr>
            <w:r>
              <w:t>5.61</w:t>
            </w:r>
          </w:p>
        </w:tc>
        <w:tc>
          <w:tcPr>
            <w:tcW w:w="1134" w:type="dxa"/>
            <w:vAlign w:val="center"/>
          </w:tcPr>
          <w:p>
            <w:pPr>
              <w:pStyle w:val="12"/>
            </w:pPr>
            <w:r>
              <w:t>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5.61</w:t>
            </w:r>
          </w:p>
        </w:tc>
        <w:tc>
          <w:tcPr>
            <w:tcW w:w="1134" w:type="dxa"/>
            <w:vAlign w:val="center"/>
          </w:tcPr>
          <w:p>
            <w:pPr>
              <w:pStyle w:val="12"/>
            </w:pPr>
            <w:r>
              <w:t>5.61</w:t>
            </w:r>
          </w:p>
        </w:tc>
        <w:tc>
          <w:tcPr>
            <w:tcW w:w="1134" w:type="dxa"/>
            <w:vAlign w:val="center"/>
          </w:tcPr>
          <w:p>
            <w:pPr>
              <w:pStyle w:val="12"/>
            </w:pPr>
            <w:r>
              <w:t>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1.88</w:t>
            </w:r>
          </w:p>
        </w:tc>
        <w:tc>
          <w:tcPr>
            <w:tcW w:w="1134" w:type="dxa"/>
            <w:vAlign w:val="center"/>
          </w:tcPr>
          <w:p>
            <w:pPr>
              <w:pStyle w:val="12"/>
            </w:pPr>
            <w:r>
              <w:t>1.88</w:t>
            </w:r>
          </w:p>
        </w:tc>
        <w:tc>
          <w:tcPr>
            <w:tcW w:w="1134" w:type="dxa"/>
            <w:vAlign w:val="center"/>
          </w:tcPr>
          <w:p>
            <w:pPr>
              <w:pStyle w:val="12"/>
            </w:pPr>
            <w:r>
              <w:t>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3.73</w:t>
            </w:r>
          </w:p>
        </w:tc>
        <w:tc>
          <w:tcPr>
            <w:tcW w:w="1134" w:type="dxa"/>
            <w:vAlign w:val="center"/>
          </w:tcPr>
          <w:p>
            <w:pPr>
              <w:pStyle w:val="12"/>
            </w:pPr>
            <w:r>
              <w:t>3.73</w:t>
            </w:r>
          </w:p>
        </w:tc>
        <w:tc>
          <w:tcPr>
            <w:tcW w:w="1134" w:type="dxa"/>
            <w:vAlign w:val="center"/>
          </w:tcPr>
          <w:p>
            <w:pPr>
              <w:pStyle w:val="12"/>
            </w:pPr>
            <w:r>
              <w:t>3.73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21502</w:t>
            </w:r>
          </w:p>
        </w:tc>
        <w:tc>
          <w:tcPr>
            <w:tcW w:w="1559" w:type="dxa"/>
            <w:vAlign w:val="center"/>
          </w:tcPr>
          <w:p>
            <w:pPr>
              <w:pStyle w:val="13"/>
            </w:pPr>
            <w:r>
              <w:t>制造业</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2150202</w:t>
            </w:r>
          </w:p>
        </w:tc>
        <w:tc>
          <w:tcPr>
            <w:tcW w:w="1559" w:type="dxa"/>
            <w:vAlign w:val="center"/>
          </w:tcPr>
          <w:p>
            <w:pPr>
              <w:pStyle w:val="13"/>
            </w:pPr>
            <w:r>
              <w:t>一般行政管理事务</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r>
              <w:t>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238.24</w:t>
            </w:r>
          </w:p>
        </w:tc>
        <w:tc>
          <w:tcPr>
            <w:tcW w:w="1361" w:type="dxa"/>
            <w:vAlign w:val="center"/>
          </w:tcPr>
          <w:p>
            <w:pPr>
              <w:pStyle w:val="16"/>
            </w:pPr>
            <w:r>
              <w:t>138.24</w:t>
            </w:r>
          </w:p>
        </w:tc>
        <w:tc>
          <w:tcPr>
            <w:tcW w:w="1361" w:type="dxa"/>
            <w:vAlign w:val="center"/>
          </w:tcPr>
          <w:p>
            <w:pPr>
              <w:pStyle w:val="16"/>
            </w:pPr>
            <w:r>
              <w:t>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97.70</w:t>
            </w:r>
          </w:p>
        </w:tc>
        <w:tc>
          <w:tcPr>
            <w:tcW w:w="1361" w:type="dxa"/>
            <w:vAlign w:val="center"/>
          </w:tcPr>
          <w:p>
            <w:pPr>
              <w:pStyle w:val="12"/>
            </w:pPr>
            <w:r>
              <w:t>97.70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97.70</w:t>
            </w:r>
          </w:p>
        </w:tc>
        <w:tc>
          <w:tcPr>
            <w:tcW w:w="1361" w:type="dxa"/>
            <w:vAlign w:val="center"/>
          </w:tcPr>
          <w:p>
            <w:pPr>
              <w:pStyle w:val="12"/>
            </w:pPr>
            <w:r>
              <w:t>97.70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48.01</w:t>
            </w:r>
          </w:p>
        </w:tc>
        <w:tc>
          <w:tcPr>
            <w:tcW w:w="1361" w:type="dxa"/>
            <w:vAlign w:val="center"/>
          </w:tcPr>
          <w:p>
            <w:pPr>
              <w:pStyle w:val="12"/>
            </w:pPr>
            <w:r>
              <w:t>48.01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49.69</w:t>
            </w:r>
          </w:p>
        </w:tc>
        <w:tc>
          <w:tcPr>
            <w:tcW w:w="1361" w:type="dxa"/>
            <w:vAlign w:val="center"/>
          </w:tcPr>
          <w:p>
            <w:pPr>
              <w:pStyle w:val="12"/>
            </w:pPr>
            <w:r>
              <w:t>49.69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26.37</w:t>
            </w:r>
          </w:p>
        </w:tc>
        <w:tc>
          <w:tcPr>
            <w:tcW w:w="1361" w:type="dxa"/>
            <w:vAlign w:val="center"/>
          </w:tcPr>
          <w:p>
            <w:pPr>
              <w:pStyle w:val="12"/>
            </w:pPr>
            <w:r>
              <w:t>26.37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26.37</w:t>
            </w:r>
          </w:p>
        </w:tc>
        <w:tc>
          <w:tcPr>
            <w:tcW w:w="1361" w:type="dxa"/>
            <w:vAlign w:val="center"/>
          </w:tcPr>
          <w:p>
            <w:pPr>
              <w:pStyle w:val="12"/>
            </w:pPr>
            <w:r>
              <w:t>26.37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14.91</w:t>
            </w:r>
          </w:p>
        </w:tc>
        <w:tc>
          <w:tcPr>
            <w:tcW w:w="1361" w:type="dxa"/>
            <w:vAlign w:val="center"/>
          </w:tcPr>
          <w:p>
            <w:pPr>
              <w:pStyle w:val="12"/>
            </w:pPr>
            <w:r>
              <w:t>14.91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11.46</w:t>
            </w:r>
          </w:p>
        </w:tc>
        <w:tc>
          <w:tcPr>
            <w:tcW w:w="1361" w:type="dxa"/>
            <w:vAlign w:val="center"/>
          </w:tcPr>
          <w:p>
            <w:pPr>
              <w:pStyle w:val="12"/>
            </w:pPr>
            <w:r>
              <w:t>11.46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5.61</w:t>
            </w:r>
          </w:p>
        </w:tc>
        <w:tc>
          <w:tcPr>
            <w:tcW w:w="1361" w:type="dxa"/>
            <w:vAlign w:val="center"/>
          </w:tcPr>
          <w:p>
            <w:pPr>
              <w:pStyle w:val="12"/>
            </w:pPr>
            <w:r>
              <w:t>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5.61</w:t>
            </w:r>
          </w:p>
        </w:tc>
        <w:tc>
          <w:tcPr>
            <w:tcW w:w="1361" w:type="dxa"/>
            <w:vAlign w:val="center"/>
          </w:tcPr>
          <w:p>
            <w:pPr>
              <w:pStyle w:val="12"/>
            </w:pPr>
            <w:r>
              <w:t>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1.88</w:t>
            </w:r>
          </w:p>
        </w:tc>
        <w:tc>
          <w:tcPr>
            <w:tcW w:w="1361" w:type="dxa"/>
            <w:vAlign w:val="center"/>
          </w:tcPr>
          <w:p>
            <w:pPr>
              <w:pStyle w:val="12"/>
            </w:pPr>
            <w:r>
              <w:t>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3.73</w:t>
            </w:r>
          </w:p>
        </w:tc>
        <w:tc>
          <w:tcPr>
            <w:tcW w:w="1361" w:type="dxa"/>
            <w:vAlign w:val="center"/>
          </w:tcPr>
          <w:p>
            <w:pPr>
              <w:pStyle w:val="12"/>
            </w:pPr>
            <w:r>
              <w:t>3.73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21502</w:t>
            </w:r>
          </w:p>
        </w:tc>
        <w:tc>
          <w:tcPr>
            <w:tcW w:w="4535" w:type="dxa"/>
            <w:vAlign w:val="center"/>
          </w:tcPr>
          <w:p>
            <w:pPr>
              <w:pStyle w:val="13"/>
            </w:pPr>
            <w:r>
              <w:t>制造业</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2150202</w:t>
            </w:r>
          </w:p>
        </w:tc>
        <w:tc>
          <w:tcPr>
            <w:tcW w:w="4535" w:type="dxa"/>
            <w:vAlign w:val="center"/>
          </w:tcPr>
          <w:p>
            <w:pPr>
              <w:pStyle w:val="13"/>
            </w:pPr>
            <w:r>
              <w:t>一般行政管理事务</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8.56</w:t>
            </w:r>
          </w:p>
        </w:tc>
        <w:tc>
          <w:tcPr>
            <w:tcW w:w="1361" w:type="dxa"/>
            <w:vAlign w:val="center"/>
          </w:tcPr>
          <w:p>
            <w:pPr>
              <w:pStyle w:val="12"/>
            </w:pPr>
            <w:r>
              <w:t>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8.56</w:t>
            </w:r>
          </w:p>
        </w:tc>
        <w:tc>
          <w:tcPr>
            <w:tcW w:w="1361" w:type="dxa"/>
            <w:vAlign w:val="center"/>
          </w:tcPr>
          <w:p>
            <w:pPr>
              <w:pStyle w:val="12"/>
            </w:pPr>
            <w:r>
              <w:t>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8.56</w:t>
            </w:r>
          </w:p>
        </w:tc>
        <w:tc>
          <w:tcPr>
            <w:tcW w:w="1361" w:type="dxa"/>
            <w:vAlign w:val="center"/>
          </w:tcPr>
          <w:p>
            <w:pPr>
              <w:pStyle w:val="12"/>
            </w:pPr>
            <w:r>
              <w:t>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238.24</w:t>
            </w:r>
          </w:p>
        </w:tc>
        <w:tc>
          <w:tcPr>
            <w:tcW w:w="3402" w:type="dxa"/>
            <w:vAlign w:val="center"/>
          </w:tcPr>
          <w:p>
            <w:pPr>
              <w:pStyle w:val="13"/>
            </w:pPr>
            <w:r>
              <w:t>一、一般公共服务支出</w:t>
            </w:r>
          </w:p>
        </w:tc>
        <w:tc>
          <w:tcPr>
            <w:tcW w:w="1474" w:type="dxa"/>
            <w:vAlign w:val="center"/>
          </w:tcPr>
          <w:p>
            <w:pPr>
              <w:pStyle w:val="12"/>
            </w:pPr>
            <w:r>
              <w:t>97.70</w:t>
            </w:r>
          </w:p>
        </w:tc>
        <w:tc>
          <w:tcPr>
            <w:tcW w:w="1474" w:type="dxa"/>
            <w:vAlign w:val="center"/>
          </w:tcPr>
          <w:p>
            <w:pPr>
              <w:pStyle w:val="12"/>
            </w:pPr>
            <w:r>
              <w:t>97.70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50.00</w:t>
            </w:r>
          </w:p>
        </w:tc>
        <w:tc>
          <w:tcPr>
            <w:tcW w:w="1474" w:type="dxa"/>
            <w:vAlign w:val="center"/>
          </w:tcPr>
          <w:p>
            <w:pPr>
              <w:pStyle w:val="12"/>
            </w:pPr>
            <w:r>
              <w:t>50.00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26.37</w:t>
            </w:r>
          </w:p>
        </w:tc>
        <w:tc>
          <w:tcPr>
            <w:tcW w:w="1474" w:type="dxa"/>
            <w:vAlign w:val="center"/>
          </w:tcPr>
          <w:p>
            <w:pPr>
              <w:pStyle w:val="12"/>
            </w:pPr>
            <w:r>
              <w:t>26.37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5.61</w:t>
            </w:r>
          </w:p>
        </w:tc>
        <w:tc>
          <w:tcPr>
            <w:tcW w:w="1474" w:type="dxa"/>
            <w:vAlign w:val="center"/>
          </w:tcPr>
          <w:p>
            <w:pPr>
              <w:pStyle w:val="12"/>
            </w:pPr>
            <w:r>
              <w:t>5.61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50.00</w:t>
            </w:r>
          </w:p>
        </w:tc>
        <w:tc>
          <w:tcPr>
            <w:tcW w:w="1474" w:type="dxa"/>
            <w:vAlign w:val="center"/>
          </w:tcPr>
          <w:p>
            <w:pPr>
              <w:pStyle w:val="12"/>
            </w:pPr>
            <w:r>
              <w:t>50.00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8.56</w:t>
            </w:r>
          </w:p>
        </w:tc>
        <w:tc>
          <w:tcPr>
            <w:tcW w:w="1474" w:type="dxa"/>
            <w:vAlign w:val="center"/>
          </w:tcPr>
          <w:p>
            <w:pPr>
              <w:pStyle w:val="12"/>
            </w:pPr>
            <w:r>
              <w:t>8.56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238.24</w:t>
            </w:r>
          </w:p>
        </w:tc>
        <w:tc>
          <w:tcPr>
            <w:tcW w:w="3402" w:type="dxa"/>
            <w:vAlign w:val="center"/>
          </w:tcPr>
          <w:p>
            <w:pPr>
              <w:pStyle w:val="15"/>
            </w:pPr>
            <w:r>
              <w:t>本年支出合计</w:t>
            </w:r>
          </w:p>
        </w:tc>
        <w:tc>
          <w:tcPr>
            <w:tcW w:w="1474" w:type="dxa"/>
            <w:vAlign w:val="center"/>
          </w:tcPr>
          <w:p>
            <w:pPr>
              <w:pStyle w:val="16"/>
            </w:pPr>
            <w:r>
              <w:t>238.24</w:t>
            </w:r>
          </w:p>
        </w:tc>
        <w:tc>
          <w:tcPr>
            <w:tcW w:w="1474" w:type="dxa"/>
            <w:vAlign w:val="center"/>
          </w:tcPr>
          <w:p>
            <w:pPr>
              <w:pStyle w:val="16"/>
            </w:pPr>
            <w:r>
              <w:t>238.24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238.24</w:t>
            </w:r>
          </w:p>
        </w:tc>
        <w:tc>
          <w:tcPr>
            <w:tcW w:w="3402" w:type="dxa"/>
            <w:vAlign w:val="center"/>
          </w:tcPr>
          <w:p>
            <w:pPr>
              <w:pStyle w:val="15"/>
            </w:pPr>
            <w:r>
              <w:t>支出总计</w:t>
            </w:r>
          </w:p>
        </w:tc>
        <w:tc>
          <w:tcPr>
            <w:tcW w:w="1474" w:type="dxa"/>
            <w:vAlign w:val="center"/>
          </w:tcPr>
          <w:p>
            <w:pPr>
              <w:pStyle w:val="16"/>
            </w:pPr>
            <w:r>
              <w:t>238.24</w:t>
            </w:r>
          </w:p>
        </w:tc>
        <w:tc>
          <w:tcPr>
            <w:tcW w:w="1474" w:type="dxa"/>
            <w:vAlign w:val="center"/>
          </w:tcPr>
          <w:p>
            <w:pPr>
              <w:pStyle w:val="16"/>
            </w:pPr>
            <w:r>
              <w:t>238.24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238.24</w:t>
            </w:r>
          </w:p>
        </w:tc>
        <w:tc>
          <w:tcPr>
            <w:tcW w:w="2551" w:type="dxa"/>
            <w:vAlign w:val="center"/>
          </w:tcPr>
          <w:p>
            <w:pPr>
              <w:pStyle w:val="16"/>
            </w:pPr>
            <w:r>
              <w:t>138.24</w:t>
            </w:r>
          </w:p>
        </w:tc>
        <w:tc>
          <w:tcPr>
            <w:tcW w:w="2551" w:type="dxa"/>
            <w:vAlign w:val="center"/>
          </w:tcPr>
          <w:p>
            <w:pPr>
              <w:pStyle w:val="16"/>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97.70</w:t>
            </w:r>
          </w:p>
        </w:tc>
        <w:tc>
          <w:tcPr>
            <w:tcW w:w="2551" w:type="dxa"/>
            <w:vAlign w:val="center"/>
          </w:tcPr>
          <w:p>
            <w:pPr>
              <w:pStyle w:val="12"/>
            </w:pPr>
            <w:r>
              <w:t>97.70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97.70</w:t>
            </w:r>
          </w:p>
        </w:tc>
        <w:tc>
          <w:tcPr>
            <w:tcW w:w="2551" w:type="dxa"/>
            <w:vAlign w:val="center"/>
          </w:tcPr>
          <w:p>
            <w:pPr>
              <w:pStyle w:val="12"/>
            </w:pPr>
            <w:r>
              <w:t>97.70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48.01</w:t>
            </w:r>
          </w:p>
        </w:tc>
        <w:tc>
          <w:tcPr>
            <w:tcW w:w="2551" w:type="dxa"/>
            <w:vAlign w:val="center"/>
          </w:tcPr>
          <w:p>
            <w:pPr>
              <w:pStyle w:val="12"/>
            </w:pPr>
            <w:r>
              <w:t>48.01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49.69</w:t>
            </w:r>
          </w:p>
        </w:tc>
        <w:tc>
          <w:tcPr>
            <w:tcW w:w="2551" w:type="dxa"/>
            <w:vAlign w:val="center"/>
          </w:tcPr>
          <w:p>
            <w:pPr>
              <w:pStyle w:val="12"/>
            </w:pPr>
            <w:r>
              <w:t>49.69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26.37</w:t>
            </w:r>
          </w:p>
        </w:tc>
        <w:tc>
          <w:tcPr>
            <w:tcW w:w="2551" w:type="dxa"/>
            <w:vAlign w:val="center"/>
          </w:tcPr>
          <w:p>
            <w:pPr>
              <w:pStyle w:val="12"/>
            </w:pPr>
            <w:r>
              <w:t>26.37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26.37</w:t>
            </w:r>
          </w:p>
        </w:tc>
        <w:tc>
          <w:tcPr>
            <w:tcW w:w="2551" w:type="dxa"/>
            <w:vAlign w:val="center"/>
          </w:tcPr>
          <w:p>
            <w:pPr>
              <w:pStyle w:val="12"/>
            </w:pPr>
            <w:r>
              <w:t>26.37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14.91</w:t>
            </w:r>
          </w:p>
        </w:tc>
        <w:tc>
          <w:tcPr>
            <w:tcW w:w="2551" w:type="dxa"/>
            <w:vAlign w:val="center"/>
          </w:tcPr>
          <w:p>
            <w:pPr>
              <w:pStyle w:val="12"/>
            </w:pPr>
            <w:r>
              <w:t>14.91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11.46</w:t>
            </w:r>
          </w:p>
        </w:tc>
        <w:tc>
          <w:tcPr>
            <w:tcW w:w="2551" w:type="dxa"/>
            <w:vAlign w:val="center"/>
          </w:tcPr>
          <w:p>
            <w:pPr>
              <w:pStyle w:val="12"/>
            </w:pPr>
            <w:r>
              <w:t>11.46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5.61</w:t>
            </w:r>
          </w:p>
        </w:tc>
        <w:tc>
          <w:tcPr>
            <w:tcW w:w="2551" w:type="dxa"/>
            <w:vAlign w:val="center"/>
          </w:tcPr>
          <w:p>
            <w:pPr>
              <w:pStyle w:val="12"/>
            </w:pPr>
            <w:r>
              <w:t>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5.61</w:t>
            </w:r>
          </w:p>
        </w:tc>
        <w:tc>
          <w:tcPr>
            <w:tcW w:w="2551" w:type="dxa"/>
            <w:vAlign w:val="center"/>
          </w:tcPr>
          <w:p>
            <w:pPr>
              <w:pStyle w:val="12"/>
            </w:pPr>
            <w:r>
              <w:t>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1.88</w:t>
            </w:r>
          </w:p>
        </w:tc>
        <w:tc>
          <w:tcPr>
            <w:tcW w:w="2551" w:type="dxa"/>
            <w:vAlign w:val="center"/>
          </w:tcPr>
          <w:p>
            <w:pPr>
              <w:pStyle w:val="12"/>
            </w:pPr>
            <w:r>
              <w:t>1.88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3.73</w:t>
            </w:r>
          </w:p>
        </w:tc>
        <w:tc>
          <w:tcPr>
            <w:tcW w:w="2551" w:type="dxa"/>
            <w:vAlign w:val="center"/>
          </w:tcPr>
          <w:p>
            <w:pPr>
              <w:pStyle w:val="12"/>
            </w:pPr>
            <w:r>
              <w:t>3.73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21502</w:t>
            </w:r>
          </w:p>
        </w:tc>
        <w:tc>
          <w:tcPr>
            <w:tcW w:w="4535" w:type="dxa"/>
            <w:vAlign w:val="center"/>
          </w:tcPr>
          <w:p>
            <w:pPr>
              <w:pStyle w:val="13"/>
            </w:pPr>
            <w:r>
              <w:t>制造业</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2150202</w:t>
            </w:r>
          </w:p>
        </w:tc>
        <w:tc>
          <w:tcPr>
            <w:tcW w:w="4535" w:type="dxa"/>
            <w:vAlign w:val="center"/>
          </w:tcPr>
          <w:p>
            <w:pPr>
              <w:pStyle w:val="13"/>
            </w:pPr>
            <w:r>
              <w:t>一般行政管理事务</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138.24</w:t>
            </w:r>
          </w:p>
        </w:tc>
        <w:tc>
          <w:tcPr>
            <w:tcW w:w="2551" w:type="dxa"/>
            <w:vAlign w:val="center"/>
          </w:tcPr>
          <w:p>
            <w:pPr>
              <w:pStyle w:val="16"/>
            </w:pPr>
            <w:r>
              <w:t>128.16</w:t>
            </w:r>
          </w:p>
        </w:tc>
        <w:tc>
          <w:tcPr>
            <w:tcW w:w="2551" w:type="dxa"/>
            <w:vAlign w:val="center"/>
          </w:tcPr>
          <w:p>
            <w:pPr>
              <w:pStyle w:val="16"/>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112.33</w:t>
            </w:r>
          </w:p>
        </w:tc>
        <w:tc>
          <w:tcPr>
            <w:tcW w:w="2551" w:type="dxa"/>
            <w:vAlign w:val="center"/>
          </w:tcPr>
          <w:p>
            <w:pPr>
              <w:pStyle w:val="12"/>
            </w:pPr>
            <w:r>
              <w:t>112.33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45.90</w:t>
            </w:r>
          </w:p>
        </w:tc>
        <w:tc>
          <w:tcPr>
            <w:tcW w:w="2551" w:type="dxa"/>
            <w:vAlign w:val="center"/>
          </w:tcPr>
          <w:p>
            <w:pPr>
              <w:pStyle w:val="12"/>
            </w:pPr>
            <w:r>
              <w:t>45.90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13.05</w:t>
            </w:r>
          </w:p>
        </w:tc>
        <w:tc>
          <w:tcPr>
            <w:tcW w:w="2551" w:type="dxa"/>
            <w:vAlign w:val="center"/>
          </w:tcPr>
          <w:p>
            <w:pPr>
              <w:pStyle w:val="12"/>
            </w:pPr>
            <w:r>
              <w:t>13.05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5.75</w:t>
            </w:r>
          </w:p>
        </w:tc>
        <w:tc>
          <w:tcPr>
            <w:tcW w:w="2551" w:type="dxa"/>
            <w:vAlign w:val="center"/>
          </w:tcPr>
          <w:p>
            <w:pPr>
              <w:pStyle w:val="12"/>
            </w:pPr>
            <w:r>
              <w:t>5.75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18.50</w:t>
            </w:r>
          </w:p>
        </w:tc>
        <w:tc>
          <w:tcPr>
            <w:tcW w:w="2551" w:type="dxa"/>
            <w:vAlign w:val="center"/>
          </w:tcPr>
          <w:p>
            <w:pPr>
              <w:pStyle w:val="12"/>
            </w:pPr>
            <w:r>
              <w:t>18.50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11.46</w:t>
            </w:r>
          </w:p>
        </w:tc>
        <w:tc>
          <w:tcPr>
            <w:tcW w:w="2551" w:type="dxa"/>
            <w:vAlign w:val="center"/>
          </w:tcPr>
          <w:p>
            <w:pPr>
              <w:pStyle w:val="12"/>
            </w:pPr>
            <w:r>
              <w:t>11.46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5.61</w:t>
            </w:r>
          </w:p>
        </w:tc>
        <w:tc>
          <w:tcPr>
            <w:tcW w:w="2551" w:type="dxa"/>
            <w:vAlign w:val="center"/>
          </w:tcPr>
          <w:p>
            <w:pPr>
              <w:pStyle w:val="12"/>
            </w:pPr>
            <w:r>
              <w:t>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2.69</w:t>
            </w:r>
          </w:p>
        </w:tc>
        <w:tc>
          <w:tcPr>
            <w:tcW w:w="2551" w:type="dxa"/>
            <w:vAlign w:val="center"/>
          </w:tcPr>
          <w:p>
            <w:pPr>
              <w:pStyle w:val="12"/>
            </w:pPr>
            <w:r>
              <w:t>2.69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0.81</w:t>
            </w:r>
          </w:p>
        </w:tc>
        <w:tc>
          <w:tcPr>
            <w:tcW w:w="2551" w:type="dxa"/>
            <w:vAlign w:val="center"/>
          </w:tcPr>
          <w:p>
            <w:pPr>
              <w:pStyle w:val="12"/>
            </w:pPr>
            <w:r>
              <w:t>0.81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8.56</w:t>
            </w:r>
          </w:p>
        </w:tc>
        <w:tc>
          <w:tcPr>
            <w:tcW w:w="2551" w:type="dxa"/>
            <w:vAlign w:val="center"/>
          </w:tcPr>
          <w:p>
            <w:pPr>
              <w:pStyle w:val="12"/>
            </w:pPr>
            <w:r>
              <w:t>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10.08</w:t>
            </w:r>
          </w:p>
        </w:tc>
        <w:tc>
          <w:tcPr>
            <w:tcW w:w="2551" w:type="dxa"/>
            <w:vAlign w:val="center"/>
          </w:tcPr>
          <w:p>
            <w:pPr>
              <w:pStyle w:val="12"/>
            </w:pPr>
          </w:p>
        </w:tc>
        <w:tc>
          <w:tcPr>
            <w:tcW w:w="2551" w:type="dxa"/>
            <w:vAlign w:val="center"/>
          </w:tcPr>
          <w:p>
            <w:pPr>
              <w:pStyle w:val="12"/>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1.22</w:t>
            </w:r>
          </w:p>
        </w:tc>
        <w:tc>
          <w:tcPr>
            <w:tcW w:w="2551" w:type="dxa"/>
            <w:vAlign w:val="center"/>
          </w:tcPr>
          <w:p>
            <w:pPr>
              <w:pStyle w:val="12"/>
            </w:pPr>
          </w:p>
        </w:tc>
        <w:tc>
          <w:tcPr>
            <w:tcW w:w="2551" w:type="dxa"/>
            <w:vAlign w:val="center"/>
          </w:tcPr>
          <w:p>
            <w:pPr>
              <w:pStyle w:val="12"/>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1.78</w:t>
            </w:r>
          </w:p>
        </w:tc>
        <w:tc>
          <w:tcPr>
            <w:tcW w:w="2551" w:type="dxa"/>
            <w:vAlign w:val="center"/>
          </w:tcPr>
          <w:p>
            <w:pPr>
              <w:pStyle w:val="12"/>
            </w:pPr>
          </w:p>
        </w:tc>
        <w:tc>
          <w:tcPr>
            <w:tcW w:w="2551" w:type="dxa"/>
            <w:vAlign w:val="center"/>
          </w:tcPr>
          <w:p>
            <w:pPr>
              <w:pStyle w:val="12"/>
            </w:pPr>
            <w:r>
              <w:t>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0.73</w:t>
            </w:r>
          </w:p>
        </w:tc>
        <w:tc>
          <w:tcPr>
            <w:tcW w:w="2551" w:type="dxa"/>
            <w:vAlign w:val="center"/>
          </w:tcPr>
          <w:p>
            <w:pPr>
              <w:pStyle w:val="12"/>
            </w:pPr>
          </w:p>
        </w:tc>
        <w:tc>
          <w:tcPr>
            <w:tcW w:w="2551" w:type="dxa"/>
            <w:vAlign w:val="center"/>
          </w:tcPr>
          <w:p>
            <w:pPr>
              <w:pStyle w:val="12"/>
            </w:pPr>
            <w:r>
              <w:t>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1.15</w:t>
            </w:r>
          </w:p>
        </w:tc>
        <w:tc>
          <w:tcPr>
            <w:tcW w:w="2551" w:type="dxa"/>
            <w:vAlign w:val="center"/>
          </w:tcPr>
          <w:p>
            <w:pPr>
              <w:pStyle w:val="12"/>
            </w:pPr>
          </w:p>
        </w:tc>
        <w:tc>
          <w:tcPr>
            <w:tcW w:w="2551" w:type="dxa"/>
            <w:vAlign w:val="center"/>
          </w:tcPr>
          <w:p>
            <w:pPr>
              <w:pStyle w:val="12"/>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2.52</w:t>
            </w:r>
          </w:p>
        </w:tc>
        <w:tc>
          <w:tcPr>
            <w:tcW w:w="2551" w:type="dxa"/>
            <w:vAlign w:val="center"/>
          </w:tcPr>
          <w:p>
            <w:pPr>
              <w:pStyle w:val="12"/>
            </w:pPr>
          </w:p>
        </w:tc>
        <w:tc>
          <w:tcPr>
            <w:tcW w:w="2551" w:type="dxa"/>
            <w:vAlign w:val="center"/>
          </w:tcPr>
          <w:p>
            <w:pPr>
              <w:pStyle w:val="12"/>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15.83</w:t>
            </w:r>
          </w:p>
        </w:tc>
        <w:tc>
          <w:tcPr>
            <w:tcW w:w="2551" w:type="dxa"/>
            <w:vAlign w:val="center"/>
          </w:tcPr>
          <w:p>
            <w:pPr>
              <w:pStyle w:val="12"/>
            </w:pPr>
            <w:r>
              <w:t>15.83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14.91</w:t>
            </w:r>
          </w:p>
        </w:tc>
        <w:tc>
          <w:tcPr>
            <w:tcW w:w="2551" w:type="dxa"/>
            <w:vAlign w:val="center"/>
          </w:tcPr>
          <w:p>
            <w:pPr>
              <w:pStyle w:val="12"/>
            </w:pPr>
            <w:r>
              <w:t>14.91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曲阳县雕刻定瓷行业服务中心2025年部门预算信息公开情况说明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曲阳县雕刻定瓷行业服务中心2025年部门预算信息公开情况说明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按照《中华人民共和国预算法》、《地方预决算公开操作规程》和《关于进一步推进预算公开工作的实施意见》规定，现将曲阳县雕刻定瓷行业服务中心2025年部门预算公开如下：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根据《曲阳县机构编制委员会关于组建去演雕刻行业管理办公室的通知》曲机编字【2003】5号文件，雕刻行业管理办公室肩负着对全县石材雕刻行业实施规划、指导、管理、协调、服务的职能，其具体职责是：</w:t>
      </w:r>
    </w:p>
    <w:p>
      <w:pPr>
        <w:pStyle w:val="18"/>
      </w:pPr>
      <w:r>
        <w:t>（一）曲阳县雕刻行业管理办公室肩负着对全县石材雕刻业实施规划、指导、管理、协调、服务的职能；研究制定全县石材雕刻业发展规划及相关政策；</w:t>
      </w:r>
    </w:p>
    <w:p>
      <w:pPr>
        <w:pStyle w:val="18"/>
      </w:pPr>
      <w:r>
        <w:t>（二）对全县石材雕刻企业实施资质证、质检证、职称证的“三证”管理，监督检查、规范企业生产、经营行为；</w:t>
      </w:r>
    </w:p>
    <w:p>
      <w:pPr>
        <w:pStyle w:val="18"/>
      </w:pPr>
      <w:r>
        <w:t>（三）组织实施东方雕刻城战略，加快雕刻业向集约化、规模化方向发展；</w:t>
      </w:r>
    </w:p>
    <w:p>
      <w:pPr>
        <w:pStyle w:val="18"/>
      </w:pPr>
      <w:r>
        <w:t>（四）组建和指导石材雕刻行业协会工作，制定行规、行约，实行行业自律；</w:t>
      </w:r>
    </w:p>
    <w:p>
      <w:pPr>
        <w:pStyle w:val="18"/>
      </w:pPr>
      <w:r>
        <w:t>（五）保护石材雕刻企业的合法权益，维护正常的生产经营秩序和曲阳雕刻之乡的形象；做好对外宣传和协调服务工作。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曲阳县雕刻定瓷行业服务中心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按照预算管理有关规定，目前部门预算的编制实行综合预算管理，即全部收入和支出都反映在预算中。曲阳县雕刻定瓷行业服务中心机关及所属事业单位的收支包含在部门预算中。</w:t>
      </w:r>
    </w:p>
    <w:p>
      <w:pPr>
        <w:pStyle w:val="19"/>
      </w:pPr>
      <w:r>
        <w:t>1、收入说明</w:t>
      </w:r>
    </w:p>
    <w:p>
      <w:pPr>
        <w:pStyle w:val="19"/>
      </w:pPr>
      <w:r>
        <w:t>反映本部门当年全部收入。202</w:t>
      </w:r>
      <w:r>
        <w:rPr>
          <w:rFonts w:hint="eastAsia"/>
          <w:lang w:val="en-US" w:eastAsia="zh-CN"/>
        </w:rPr>
        <w:t>5</w:t>
      </w:r>
      <w:r>
        <w:t>年预算收入</w:t>
      </w:r>
      <w:r>
        <w:rPr>
          <w:rFonts w:hint="eastAsia"/>
          <w:lang w:val="en-US" w:eastAsia="zh-CN"/>
        </w:rPr>
        <w:t>238.24</w:t>
      </w:r>
      <w:r>
        <w:t>万元，其中：一般公共预算收入</w:t>
      </w:r>
      <w:r>
        <w:rPr>
          <w:rFonts w:hint="eastAsia"/>
          <w:lang w:val="en-US" w:eastAsia="zh-CN"/>
        </w:rPr>
        <w:t>238.24</w:t>
      </w:r>
      <w:r>
        <w:t>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收支预算总表支出栏、基本支出表、项目支出表按经济分类和支出功能分类科目编制，反映曲阳县雕刻定瓷行业服务中心年度部门预算中支出预算的总体情况。202</w:t>
      </w:r>
      <w:r>
        <w:rPr>
          <w:rFonts w:hint="eastAsia"/>
          <w:lang w:val="en-US" w:eastAsia="zh-CN"/>
        </w:rPr>
        <w:t>5</w:t>
      </w:r>
      <w:r>
        <w:t>年支出预算</w:t>
      </w:r>
      <w:r>
        <w:rPr>
          <w:rFonts w:hint="eastAsia"/>
          <w:lang w:val="en-US" w:eastAsia="zh-CN"/>
        </w:rPr>
        <w:t>238.24</w:t>
      </w:r>
      <w:r>
        <w:t>万元，其中基本支出</w:t>
      </w:r>
      <w:r>
        <w:rPr>
          <w:rFonts w:hint="eastAsia"/>
          <w:lang w:val="en-US" w:eastAsia="zh-CN"/>
        </w:rPr>
        <w:t>138.24</w:t>
      </w:r>
      <w:r>
        <w:t>万元，包括人员经费</w:t>
      </w:r>
      <w:r>
        <w:rPr>
          <w:rFonts w:hint="eastAsia"/>
          <w:lang w:val="en-US" w:eastAsia="zh-CN"/>
        </w:rPr>
        <w:t>128.16</w:t>
      </w:r>
      <w:r>
        <w:t>万元和日常公用经费</w:t>
      </w:r>
      <w:r>
        <w:rPr>
          <w:rFonts w:hint="eastAsia"/>
          <w:lang w:val="en-US" w:eastAsia="zh-CN"/>
        </w:rPr>
        <w:t>10.08</w:t>
      </w:r>
      <w:r>
        <w:t>万元；项目支出</w:t>
      </w:r>
      <w:r>
        <w:rPr>
          <w:rFonts w:hint="eastAsia"/>
          <w:lang w:val="en-US" w:eastAsia="zh-CN"/>
        </w:rPr>
        <w:t>100</w:t>
      </w:r>
      <w:r>
        <w:t>万元，主要为雕刻办专项业务经费</w:t>
      </w:r>
      <w:r>
        <w:rPr>
          <w:rFonts w:hint="eastAsia"/>
          <w:lang w:eastAsia="zh-CN"/>
        </w:rPr>
        <w:t>项目</w:t>
      </w:r>
      <w:r>
        <w:t>；</w:t>
      </w:r>
    </w:p>
    <w:p>
      <w:pPr>
        <w:pStyle w:val="19"/>
      </w:pPr>
      <w:r>
        <w:t>3、比上年增减情况</w:t>
      </w:r>
    </w:p>
    <w:p>
      <w:pPr>
        <w:pStyle w:val="19"/>
        <w:rPr>
          <w:rFonts w:hint="eastAsia"/>
          <w:lang w:eastAsia="zh-CN"/>
        </w:rPr>
      </w:pPr>
      <w:r>
        <w:t>202</w:t>
      </w:r>
      <w:r>
        <w:rPr>
          <w:rFonts w:hint="eastAsia"/>
          <w:lang w:val="en-US" w:eastAsia="zh-CN"/>
        </w:rPr>
        <w:t>5</w:t>
      </w:r>
      <w:r>
        <w:t>年预算收支安排</w:t>
      </w:r>
      <w:r>
        <w:rPr>
          <w:rFonts w:hint="eastAsia"/>
          <w:lang w:val="en-US" w:eastAsia="zh-CN"/>
        </w:rPr>
        <w:t>238.24</w:t>
      </w:r>
      <w:r>
        <w:t>万元，较202</w:t>
      </w:r>
      <w:r>
        <w:rPr>
          <w:rFonts w:hint="eastAsia"/>
          <w:lang w:val="en-US" w:eastAsia="zh-CN"/>
        </w:rPr>
        <w:t>4</w:t>
      </w:r>
      <w:r>
        <w:t>年预算减少</w:t>
      </w:r>
      <w:r>
        <w:rPr>
          <w:rFonts w:hint="eastAsia"/>
          <w:lang w:val="en-US" w:eastAsia="zh-CN"/>
        </w:rPr>
        <w:t>140.55</w:t>
      </w:r>
      <w:r>
        <w:t>万元，其中：基本支出</w:t>
      </w:r>
      <w:r>
        <w:rPr>
          <w:rFonts w:hint="eastAsia"/>
          <w:lang w:val="en-US" w:eastAsia="zh-CN"/>
        </w:rPr>
        <w:t>减少31.59</w:t>
      </w:r>
      <w:r>
        <w:t>万元，主要为人员工</w:t>
      </w:r>
      <w:r>
        <w:rPr>
          <w:rFonts w:hint="eastAsia"/>
          <w:lang w:val="en-US" w:eastAsia="zh-CN"/>
        </w:rPr>
        <w:t>减少</w:t>
      </w:r>
      <w:r>
        <w:t>。项目支出减少</w:t>
      </w:r>
      <w:r>
        <w:rPr>
          <w:rFonts w:hint="eastAsia"/>
          <w:lang w:val="en-US" w:eastAsia="zh-CN"/>
        </w:rPr>
        <w:t>108.96</w:t>
      </w:r>
      <w:r>
        <w:t>万元，主要为工艺美术大师奖励经费项目支出减少</w:t>
      </w:r>
      <w:r>
        <w:rPr>
          <w:rFonts w:hint="eastAsia"/>
          <w:lang w:eastAsia="zh-CN"/>
        </w:rPr>
        <w:t>。</w:t>
      </w:r>
    </w:p>
    <w:p>
      <w:pPr>
        <w:pStyle w:val="19"/>
        <w:rPr>
          <w:rFonts w:hint="eastAsia"/>
          <w:lang w:val="en-US" w:eastAsia="zh-CN"/>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eastAsiaTheme="minorEastAsia"/>
          <w:lang w:val="en-US" w:eastAsia="zh-CN"/>
        </w:rPr>
        <w:t>5</w:t>
      </w:r>
      <w:r>
        <w:t>年，我</w:t>
      </w:r>
      <w:r>
        <w:rPr>
          <w:rFonts w:hint="eastAsia" w:eastAsiaTheme="minorEastAsia"/>
          <w:lang w:eastAsia="zh-CN"/>
        </w:rPr>
        <w:t>部门</w:t>
      </w:r>
      <w:r>
        <w:t>机关运行经费共计安排</w:t>
      </w:r>
      <w:r>
        <w:rPr>
          <w:rFonts w:hint="eastAsia"/>
          <w:lang w:val="en-US" w:eastAsia="zh-CN"/>
        </w:rPr>
        <w:t>10.08</w:t>
      </w:r>
      <w:r>
        <w:t>万元，主要用于</w:t>
      </w:r>
      <w:r>
        <w:rPr>
          <w:rFonts w:hint="eastAsia"/>
          <w:lang w:val="en-US" w:eastAsia="zh-CN"/>
        </w:rPr>
        <w:t>日常维修、办公用房水电费、办公用房取暖费、办公用房物业管理费等日常运行支出。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rPr>
        <w:t>2025年，我部门财政拨款“三公”经费预算安排0万元，其中因公出国（境）费0万元； 公务用车购置及运维费0万元（其中：公务用车购置费为0万元，公务用车运维费0万元)； 公务接待费0万元。与2024年相比增加0万元， 增减变化的主要原因是</w:t>
      </w:r>
      <w:r>
        <w:t>三公经费与上年持平，无增减变化。</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曲阳县雕刻定瓷行业服务中心将进一步围绕全县中心工作和县委的重点部署，进行雕刻文化宣传和推介工作，牢牢掌握意识形态工作领导权、管理权、话语权，弘扬主旋律，汇聚正能量，为经济社会发展提供有力的思想保证、精神动力、舆论支持。一、对全县石材雕刻业实施规划、指导、管理、协调、服务，研究制定全县石材雕刻业发展规划及相关政策，坚持政府引领、企业主体、市场导向、提升转型的思路。加大宣传力度，唱响曲阳雕塑。二、加强创新人才的培养。加强曲阳工艺美术大师队伍建设，调动各级工艺美术大师创新发展积极性，打造具有曲阳特色的大师文化品牌。三、雕刻会展中心综合业务管理和综合事务管理；集中宣传曲阳雕刻，展示雕刻精品，接待团体旅游观光，开展各项活动及日常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以习近平新时代中国特色社会主义思想为统领，继续深入学习贯彻党的和中央、省、市一系列重要会议精神，充分发挥监督职能作用，进一步拓展监督渠道、创新监督方式、增强监督效果，</w:t>
      </w:r>
      <w:r>
        <w:rPr>
          <w:rFonts w:hint="eastAsia"/>
          <w:lang w:eastAsia="zh-CN"/>
        </w:rPr>
        <w:t>不忘初心、牢记使命</w:t>
      </w:r>
      <w:r>
        <w:t xml:space="preserve">，忠诚担当，实干争先，全力打造两都两地，奋力开创新时代全面建设经济强县美丽曲阳新局面。           </w:t>
      </w:r>
    </w:p>
    <w:p>
      <w:pPr>
        <w:pStyle w:val="23"/>
      </w:pPr>
      <w:r>
        <w:t>(一）加快雕塑产业创新发展</w:t>
      </w:r>
    </w:p>
    <w:p>
      <w:pPr>
        <w:pStyle w:val="23"/>
      </w:pPr>
      <w:r>
        <w:t>对全县石材雕刻业实施规划、指导、管理、协调、服务，研究制定全县石材雕刻业发展规划及相关政策，坚持政府引领、企业主体、市场导向、提升转型的思路，出台关于加快雕塑产业创新发展意见。雕塑文化名城建设迈出坚实步伐，逐步将曲阳建设成为国内外雕塑创意研发中心、生产制造中心、贸易中心、艺术交流中心、艺术交流中心和教育研发中心。计划补贴的企事业单位数量5家，污染物排放降低率降低80%以上。</w:t>
      </w:r>
    </w:p>
    <w:p>
      <w:pPr>
        <w:pStyle w:val="23"/>
      </w:pPr>
      <w:r>
        <w:t>（二）雕刻展厅政务管理</w:t>
      </w:r>
    </w:p>
    <w:p>
      <w:pPr>
        <w:pStyle w:val="23"/>
      </w:pPr>
      <w:r>
        <w:t>确保各项业务工作谋划到位、顺利开展。保障展厅工作正常高效运转。充分展示曲阳雕刻形象，积极宣传我县雕刻艺术品牌。加快雕刻业向激越化、规模化方向发展，保护石材雕刻企业的合法权益，维护正常的生产经营秩序和曲阳雕刻之乡的形象，做好对外宣传和协调服务工作。提升雕刻展厅综合事务管理水平，保障各项工作正常运转。负责展示雕刻精品，接待团体旅游观光，开展各项活动及日常工作，做好对外宣传，维护雕刻之乡的形象。收藏及保管物品完好率达到90%以上。服务对象满意度达到95%以上。</w:t>
      </w:r>
    </w:p>
    <w:p>
      <w:pPr>
        <w:pStyle w:val="23"/>
      </w:pPr>
      <w:r>
        <w:t>（三）雕塑人才发展</w:t>
      </w:r>
    </w:p>
    <w:p>
      <w:pPr>
        <w:pStyle w:val="23"/>
      </w:pPr>
      <w:r>
        <w:t>1、实施工艺美术大师奖励试行办法</w:t>
      </w:r>
    </w:p>
    <w:p>
      <w:pPr>
        <w:pStyle w:val="23"/>
      </w:pPr>
      <w:r>
        <w:t>为进一步加强曲阳工艺美术大师队伍建设，调动各级工艺美术大师创新发展积极性，打造具有曲阳特色的大师文化品牌，加快推进“两都两地”建设。鼓励工艺美术大师课徒授艺，一线创作生产，保护传统手工技艺；开展学术研究，推进艺术繁荣，提升大师文化影响力，带动行业上档升级。</w:t>
      </w:r>
    </w:p>
    <w:p>
      <w:pPr>
        <w:pStyle w:val="23"/>
      </w:pPr>
      <w:r>
        <w:t>2、省级以上石雕设计大赛</w:t>
      </w:r>
    </w:p>
    <w:p>
      <w:pPr>
        <w:pStyle w:val="23"/>
      </w:pPr>
      <w:r>
        <w:t>弘扬工匠精神，传播雕塑设计及制作技艺。传承传统技艺，挖掘雕塑文化，推进艺术创新，打造雕塑特色精品，促进雕塑的繁荣与发展。原创性成果产出率达到90%，取得新理论、新技术和发明专利等。</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2025年，曲阳县雕刻行业管理办公室为了实现年度发展规划目标，采取以下几方面保障措施：</w:t>
      </w:r>
    </w:p>
    <w:p>
      <w:pPr>
        <w:pStyle w:val="24"/>
      </w:pPr>
      <w:r>
        <w:t>一、以项目建设为抓手、企业发展为支撑、科技创新为驱动、人才队伍建设为保障，产业提升与文化旅游联动发展，推动全县雕塑产业创新发展，打造世界雕塑艺术之都。</w:t>
      </w:r>
    </w:p>
    <w:p>
      <w:pPr>
        <w:pStyle w:val="24"/>
      </w:pPr>
      <w:r>
        <w:t>二、以奖励、资助等方式，用于对全县雕塑行业企业、大师和优秀从业人员的资金扶持、科技创新和贡献奖励，举办雕塑文化活动。加快大师群建设，提升行业软实力，对工艺美术大师慰问、实施津补贴制度，对大师作品版权注册保护；鼓励大师进行学术交流。鼓励工艺美术大师课徒授艺，一线创作生产，保护传统手工技艺；开展学术研究，推进艺术繁荣，提升大师文化影响力，带动行业上档升级。传承传统技艺，推进艺术创新。</w:t>
      </w:r>
    </w:p>
    <w:p>
      <w:pPr>
        <w:pStyle w:val="24"/>
      </w:pPr>
      <w:r>
        <w:t>三、曲阳县雕刻会展中心经过近几年的改造提升，已成为县委、县政府对外展示雕刻之乡形象的重要窗口。近年来省市领导多次到会展中心视察，得到了省市领导的充分肯定。许多外地客商和游客也纷纷到展中心参观，对宣传曲阳雕刻起到了极大的推动作用。</w:t>
      </w:r>
    </w:p>
    <w:p>
      <w:pPr>
        <w:pStyle w:val="24"/>
      </w:pPr>
      <w:r>
        <w:t>1、拟定区域内文化艺术方面有关发展规划，履行文化市场监管职责，开展文化宣传、保护等业务管理工作。接待各商务团、旅游团来我县观光，选购雕刻精品，洽谈业务。</w:t>
      </w:r>
    </w:p>
    <w:p>
      <w:pPr>
        <w:pStyle w:val="24"/>
        <w:sectPr>
          <w:pgSz w:w="16840" w:h="11900" w:orient="landscape"/>
          <w:pgMar w:top="1361" w:right="1020" w:bottom="1361" w:left="1020" w:header="720" w:footer="720" w:gutter="0"/>
          <w:cols w:space="720" w:num="1"/>
        </w:sectPr>
      </w:pPr>
      <w:r>
        <w:t>2、实行市场化运行机制，参展作品面向全县雕刻企业征集精品；吸引雕刻企业积极入驻雕刻会展中心；充分展示曲阳雕刻形象，积极宣传我县雕刻艺术品牌。</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1、雕刻办专项业务经费项目绩效目标表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13063425P00001910003R</w:t>
            </w:r>
          </w:p>
        </w:tc>
        <w:tc>
          <w:tcPr>
            <w:tcW w:w="2835" w:type="dxa"/>
            <w:vAlign w:val="center"/>
          </w:tcPr>
          <w:p>
            <w:pPr>
              <w:pStyle w:val="11"/>
            </w:pPr>
            <w:r>
              <w:t>项目名称</w:t>
            </w:r>
          </w:p>
        </w:tc>
        <w:tc>
          <w:tcPr>
            <w:tcW w:w="6095" w:type="dxa"/>
            <w:gridSpan w:val="3"/>
            <w:vAlign w:val="center"/>
          </w:tcPr>
          <w:p>
            <w:pPr>
              <w:pStyle w:val="13"/>
            </w:pPr>
            <w:r>
              <w:t>雕刻办专项业务经费项目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预算资金50万元，其中一般公共预算50万元，主要用于雕刻展厅正常运转和省级以上大赛支出，按工作进度拨付。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25.00</w:t>
            </w:r>
          </w:p>
        </w:tc>
        <w:tc>
          <w:tcPr>
            <w:tcW w:w="2551" w:type="dxa"/>
            <w:vAlign w:val="center"/>
          </w:tcPr>
          <w:p>
            <w:pPr>
              <w:pStyle w:val="14"/>
            </w:pPr>
            <w:r>
              <w:t>35.00</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1.完成雕刻展厅接待任务和大赛的组织参展等工作。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雕刻定瓷大师外出参展交流人数</w:t>
            </w:r>
          </w:p>
        </w:tc>
        <w:tc>
          <w:tcPr>
            <w:tcW w:w="5386" w:type="dxa"/>
            <w:vAlign w:val="center"/>
          </w:tcPr>
          <w:p>
            <w:pPr>
              <w:pStyle w:val="13"/>
            </w:pPr>
            <w:r>
              <w:t>组织雕刻定瓷大师外出参展交流人数</w:t>
            </w:r>
          </w:p>
        </w:tc>
        <w:tc>
          <w:tcPr>
            <w:tcW w:w="2268" w:type="dxa"/>
            <w:vAlign w:val="center"/>
          </w:tcPr>
          <w:p>
            <w:pPr>
              <w:pStyle w:val="13"/>
            </w:pPr>
            <w:r>
              <w:t>≥100人</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雕塑大赛活动完成率</w:t>
            </w:r>
          </w:p>
        </w:tc>
        <w:tc>
          <w:tcPr>
            <w:tcW w:w="5386" w:type="dxa"/>
            <w:vAlign w:val="center"/>
          </w:tcPr>
          <w:p>
            <w:pPr>
              <w:pStyle w:val="13"/>
            </w:pPr>
            <w:r>
              <w:t>雕塑大赛活动完成率</w:t>
            </w:r>
          </w:p>
        </w:tc>
        <w:tc>
          <w:tcPr>
            <w:tcW w:w="2268" w:type="dxa"/>
            <w:vAlign w:val="center"/>
          </w:tcPr>
          <w:p>
            <w:pPr>
              <w:pStyle w:val="13"/>
            </w:pPr>
            <w:r>
              <w:t>≥80%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雕塑大赛完成及时率</w:t>
            </w:r>
          </w:p>
        </w:tc>
        <w:tc>
          <w:tcPr>
            <w:tcW w:w="5386" w:type="dxa"/>
            <w:vAlign w:val="center"/>
          </w:tcPr>
          <w:p>
            <w:pPr>
              <w:pStyle w:val="13"/>
            </w:pPr>
            <w:r>
              <w:t>雕塑大赛完成及时率</w:t>
            </w:r>
          </w:p>
        </w:tc>
        <w:tc>
          <w:tcPr>
            <w:tcW w:w="2268" w:type="dxa"/>
            <w:vAlign w:val="center"/>
          </w:tcPr>
          <w:p>
            <w:pPr>
              <w:pStyle w:val="13"/>
            </w:pPr>
            <w:r>
              <w:t>≥95%</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雕塑大赛成本控制数</w:t>
            </w:r>
          </w:p>
        </w:tc>
        <w:tc>
          <w:tcPr>
            <w:tcW w:w="5386" w:type="dxa"/>
            <w:vAlign w:val="center"/>
          </w:tcPr>
          <w:p>
            <w:pPr>
              <w:pStyle w:val="13"/>
            </w:pPr>
            <w:r>
              <w:t>雕塑大赛成本控制数</w:t>
            </w:r>
          </w:p>
        </w:tc>
        <w:tc>
          <w:tcPr>
            <w:tcW w:w="2268" w:type="dxa"/>
            <w:vAlign w:val="center"/>
          </w:tcPr>
          <w:p>
            <w:pPr>
              <w:pStyle w:val="13"/>
            </w:pPr>
            <w:r>
              <w:t>≤30万元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雕刻作品创新提升情况</w:t>
            </w:r>
          </w:p>
        </w:tc>
        <w:tc>
          <w:tcPr>
            <w:tcW w:w="5386" w:type="dxa"/>
            <w:vAlign w:val="center"/>
          </w:tcPr>
          <w:p>
            <w:pPr>
              <w:pStyle w:val="13"/>
            </w:pPr>
            <w:r>
              <w:t>雕刻作品创新提升情况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受益人群满意度</w:t>
            </w:r>
          </w:p>
        </w:tc>
        <w:tc>
          <w:tcPr>
            <w:tcW w:w="5386" w:type="dxa"/>
            <w:vAlign w:val="center"/>
          </w:tcPr>
          <w:p>
            <w:pPr>
              <w:pStyle w:val="13"/>
            </w:pPr>
            <w:r>
              <w:t>为雕塑定瓷大师提供的服务质量调查中满意的人数占总调查人数的比例</w:t>
            </w:r>
          </w:p>
        </w:tc>
        <w:tc>
          <w:tcPr>
            <w:tcW w:w="2268" w:type="dxa"/>
            <w:vAlign w:val="center"/>
          </w:tcPr>
          <w:p>
            <w:pPr>
              <w:pStyle w:val="13"/>
            </w:pPr>
            <w:r>
              <w:t>≥90%</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2、工艺美术大师奖励经费绩效目标表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13063425P00620A10005E</w:t>
            </w:r>
          </w:p>
        </w:tc>
        <w:tc>
          <w:tcPr>
            <w:tcW w:w="2835" w:type="dxa"/>
            <w:vAlign w:val="center"/>
          </w:tcPr>
          <w:p>
            <w:pPr>
              <w:pStyle w:val="11"/>
            </w:pPr>
            <w:r>
              <w:t>项目名称</w:t>
            </w:r>
          </w:p>
        </w:tc>
        <w:tc>
          <w:tcPr>
            <w:tcW w:w="6095" w:type="dxa"/>
            <w:gridSpan w:val="3"/>
            <w:vAlign w:val="center"/>
          </w:tcPr>
          <w:p>
            <w:pPr>
              <w:pStyle w:val="13"/>
            </w:pPr>
            <w:r>
              <w:t>工艺美术大师奖励经费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预算资金50万元，其中一般公共预算50万元，主要用于工艺美术大师奖励金支出，按工作进度拨付。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1.按时发放工艺美术大师的津补贴、奖励金以及获奖作品奖金。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工艺美术大师奖励人数</w:t>
            </w:r>
          </w:p>
        </w:tc>
        <w:tc>
          <w:tcPr>
            <w:tcW w:w="5386" w:type="dxa"/>
            <w:vAlign w:val="center"/>
          </w:tcPr>
          <w:p>
            <w:pPr>
              <w:pStyle w:val="13"/>
            </w:pPr>
            <w:r>
              <w:t>工艺美术大师奖励人数</w:t>
            </w:r>
          </w:p>
        </w:tc>
        <w:tc>
          <w:tcPr>
            <w:tcW w:w="2268" w:type="dxa"/>
            <w:vAlign w:val="center"/>
          </w:tcPr>
          <w:p>
            <w:pPr>
              <w:pStyle w:val="13"/>
            </w:pPr>
            <w:r>
              <w:t>≥60人</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奖金发放覆盖率</w:t>
            </w:r>
          </w:p>
        </w:tc>
        <w:tc>
          <w:tcPr>
            <w:tcW w:w="5386" w:type="dxa"/>
            <w:vAlign w:val="center"/>
          </w:tcPr>
          <w:p>
            <w:pPr>
              <w:pStyle w:val="13"/>
            </w:pPr>
            <w:r>
              <w:t>奖金发放覆盖率</w:t>
            </w:r>
          </w:p>
        </w:tc>
        <w:tc>
          <w:tcPr>
            <w:tcW w:w="2268" w:type="dxa"/>
            <w:vAlign w:val="center"/>
          </w:tcPr>
          <w:p>
            <w:pPr>
              <w:pStyle w:val="13"/>
            </w:pPr>
            <w:r>
              <w:t>≥90%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奖金发放及时率</w:t>
            </w:r>
          </w:p>
        </w:tc>
        <w:tc>
          <w:tcPr>
            <w:tcW w:w="5386" w:type="dxa"/>
            <w:vAlign w:val="center"/>
          </w:tcPr>
          <w:p>
            <w:pPr>
              <w:pStyle w:val="13"/>
            </w:pPr>
            <w:r>
              <w:t>奖金发放及时率</w:t>
            </w:r>
          </w:p>
        </w:tc>
        <w:tc>
          <w:tcPr>
            <w:tcW w:w="2268" w:type="dxa"/>
            <w:vAlign w:val="center"/>
          </w:tcPr>
          <w:p>
            <w:pPr>
              <w:pStyle w:val="13"/>
            </w:pPr>
            <w:r>
              <w:t>≥95%</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人均奖励标准</w:t>
            </w:r>
          </w:p>
        </w:tc>
        <w:tc>
          <w:tcPr>
            <w:tcW w:w="5386" w:type="dxa"/>
            <w:vAlign w:val="center"/>
          </w:tcPr>
          <w:p>
            <w:pPr>
              <w:pStyle w:val="13"/>
            </w:pPr>
            <w:r>
              <w:t>人均奖励标准</w:t>
            </w:r>
          </w:p>
        </w:tc>
        <w:tc>
          <w:tcPr>
            <w:tcW w:w="2268" w:type="dxa"/>
            <w:vAlign w:val="center"/>
          </w:tcPr>
          <w:p>
            <w:pPr>
              <w:pStyle w:val="13"/>
            </w:pPr>
            <w:r>
              <w:t>≥3000元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带动工艺美术大师参评</w:t>
            </w:r>
          </w:p>
        </w:tc>
        <w:tc>
          <w:tcPr>
            <w:tcW w:w="5386" w:type="dxa"/>
            <w:vAlign w:val="center"/>
          </w:tcPr>
          <w:p>
            <w:pPr>
              <w:pStyle w:val="13"/>
            </w:pPr>
            <w:r>
              <w:t>带动工艺美术大师参评率</w:t>
            </w:r>
          </w:p>
        </w:tc>
        <w:tc>
          <w:tcPr>
            <w:tcW w:w="2268" w:type="dxa"/>
            <w:vAlign w:val="center"/>
          </w:tcPr>
          <w:p>
            <w:pPr>
              <w:pStyle w:val="13"/>
            </w:pPr>
            <w:r>
              <w:t>≥80%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rPr>
                <w:rFonts w:hint="eastAsia"/>
                <w:lang w:eastAsia="zh-CN"/>
              </w:rPr>
              <w:t>受益</w:t>
            </w:r>
            <w:r>
              <w:t>人群满意度</w:t>
            </w:r>
          </w:p>
        </w:tc>
        <w:tc>
          <w:tcPr>
            <w:tcW w:w="5386" w:type="dxa"/>
            <w:vAlign w:val="center"/>
          </w:tcPr>
          <w:p>
            <w:pPr>
              <w:pStyle w:val="13"/>
            </w:pPr>
            <w:r>
              <w:t>为雕塑定瓷大师提供的服务质量调查中满意的人数占总调查人数的比例</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2.22</w:t>
            </w:r>
          </w:p>
        </w:tc>
        <w:tc>
          <w:tcPr>
            <w:tcW w:w="964" w:type="dxa"/>
            <w:vAlign w:val="center"/>
          </w:tcPr>
          <w:p>
            <w:pPr>
              <w:pStyle w:val="16"/>
            </w:pPr>
            <w:r>
              <w:t>2.22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曲阳县雕刻定瓷行业服务中心小计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2.22</w:t>
            </w:r>
          </w:p>
        </w:tc>
        <w:tc>
          <w:tcPr>
            <w:tcW w:w="964" w:type="dxa"/>
            <w:vAlign w:val="center"/>
          </w:tcPr>
          <w:p>
            <w:pPr>
              <w:pStyle w:val="16"/>
            </w:pPr>
            <w:r>
              <w:t>2.22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4.30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w:t>
            </w:r>
          </w:p>
        </w:tc>
        <w:tc>
          <w:tcPr>
            <w:tcW w:w="850" w:type="dxa"/>
            <w:vAlign w:val="center"/>
          </w:tcPr>
          <w:p>
            <w:pPr>
              <w:pStyle w:val="12"/>
            </w:pPr>
            <w:r>
              <w:t>1.22</w:t>
            </w:r>
          </w:p>
        </w:tc>
        <w:tc>
          <w:tcPr>
            <w:tcW w:w="964" w:type="dxa"/>
            <w:vAlign w:val="center"/>
          </w:tcPr>
          <w:p>
            <w:pPr>
              <w:pStyle w:val="12"/>
            </w:pPr>
            <w:r>
              <w:t>1.22</w:t>
            </w:r>
          </w:p>
        </w:tc>
        <w:tc>
          <w:tcPr>
            <w:tcW w:w="964" w:type="dxa"/>
            <w:vAlign w:val="center"/>
          </w:tcPr>
          <w:p>
            <w:pPr>
              <w:pStyle w:val="12"/>
            </w:pPr>
            <w:r>
              <w:t>1.22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雕刻办专项业务经费项目</w:t>
            </w:r>
          </w:p>
        </w:tc>
        <w:tc>
          <w:tcPr>
            <w:tcW w:w="964" w:type="dxa"/>
            <w:vAlign w:val="center"/>
          </w:tcPr>
          <w:p>
            <w:pPr>
              <w:pStyle w:val="12"/>
            </w:pPr>
            <w:r>
              <w:t>50.00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曲阳县雕刻定瓷行业服务中心（含所属单位）上年末固定资产金额为0.00万元（详见下表）。本年度拟购置固定资产总额为0.00万元，已按要求列入政府采购预算，详见政府采购预算表。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304曲阳县雕刻定瓷行业服务中心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shd w:val="clear" w:color="auto" w:fill="auto"/>
            <w:vAlign w:val="center"/>
          </w:tcPr>
          <w:p>
            <w:pPr>
              <w:pStyle w:val="11"/>
              <w:ind w:firstLine="0" w:firstLineChars="0"/>
              <w:rPr>
                <w:rFonts w:ascii="方正书宋_GBK" w:hAnsi="方正书宋_GBK" w:eastAsia="方正书宋_GBK" w:cs="方正书宋_GBK"/>
                <w:b/>
                <w:sz w:val="21"/>
                <w:szCs w:val="24"/>
                <w:lang w:val="en-US" w:eastAsia="uk-UA" w:bidi="ar-SA"/>
              </w:rPr>
            </w:pPr>
            <w:r>
              <w:t>项   目</w:t>
            </w:r>
          </w:p>
        </w:tc>
        <w:tc>
          <w:tcPr>
            <w:tcW w:w="2835" w:type="dxa"/>
            <w:shd w:val="clear" w:color="auto" w:fill="auto"/>
            <w:vAlign w:val="center"/>
          </w:tcPr>
          <w:p>
            <w:pPr>
              <w:pStyle w:val="11"/>
              <w:ind w:firstLine="0" w:firstLineChars="0"/>
              <w:rPr>
                <w:rFonts w:ascii="方正书宋_GBK" w:hAnsi="方正书宋_GBK" w:eastAsia="方正书宋_GBK" w:cs="方正书宋_GBK"/>
                <w:b/>
                <w:sz w:val="21"/>
                <w:szCs w:val="24"/>
                <w:lang w:val="en-US" w:eastAsia="uk-UA" w:bidi="ar-SA"/>
              </w:rPr>
            </w:pPr>
            <w:r>
              <w:t>数量</w:t>
            </w:r>
          </w:p>
        </w:tc>
        <w:tc>
          <w:tcPr>
            <w:tcW w:w="2835" w:type="dxa"/>
            <w:shd w:val="clear" w:color="auto" w:fill="auto"/>
            <w:vAlign w:val="center"/>
          </w:tcPr>
          <w:p>
            <w:pPr>
              <w:pStyle w:val="11"/>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r>
              <w:t>24.14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r>
              <w:t>37</w:t>
            </w:r>
          </w:p>
        </w:tc>
        <w:tc>
          <w:tcPr>
            <w:tcW w:w="2835" w:type="dxa"/>
            <w:shd w:val="clear" w:color="auto" w:fill="auto"/>
            <w:vAlign w:val="center"/>
          </w:tcPr>
          <w:p>
            <w:pPr>
              <w:pStyle w:val="12"/>
              <w:ind w:firstLine="0" w:firstLineChars="0"/>
              <w:rPr>
                <w:rFonts w:ascii="方正书宋_GBK" w:hAnsi="方正书宋_GBK" w:eastAsia="方正书宋_GBK" w:cs="方正书宋_GBK"/>
                <w:sz w:val="21"/>
                <w:szCs w:val="24"/>
                <w:lang w:val="en-US" w:eastAsia="uk-UA" w:bidi="ar-SA"/>
              </w:rPr>
            </w:pPr>
            <w:r>
              <w:t>24.14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w:t>
      </w:r>
      <w:r>
        <w:rPr>
          <w:rFonts w:hint="eastAsia" w:eastAsia="方正仿宋_GBK" w:cs="Times New Roman"/>
          <w:b w:val="0"/>
          <w:color w:val="000000"/>
          <w:sz w:val="28"/>
          <w:lang w:eastAsia="zh-CN"/>
        </w:rPr>
        <w:t>受益</w:t>
      </w:r>
      <w:r>
        <w:rPr>
          <w:rFonts w:ascii="Times New Roman" w:hAnsi="Times New Roman" w:eastAsia="方正仿宋_GBK" w:cs="Times New Roman"/>
          <w:b w:val="0"/>
          <w:color w:val="000000"/>
          <w:sz w:val="28"/>
        </w:rPr>
        <w:t>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A64E51"/>
    <w:rsid w:val="1AF86076"/>
    <w:rsid w:val="1BA27616"/>
    <w:rsid w:val="4B7E2B72"/>
    <w:rsid w:val="530F79DA"/>
    <w:rsid w:val="5F902DE4"/>
    <w:rsid w:val="64525C41"/>
    <w:rsid w:val="6D0146C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4975</Words>
  <Characters>6396</Characters>
  <TotalTime>2</TotalTime>
  <ScaleCrop>false</ScaleCrop>
  <LinksUpToDate>false</LinksUpToDate>
  <CharactersWithSpaces>6508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2025-02-07T09:57:00Z</dcterms:created>
  <dc:creator>Administrator</dc:creator>
  <cp:lastModifiedBy>6665</cp:lastModifiedBy>
  <dcterms:modified xsi:type="dcterms:W3CDTF">2025-02-24T09:02:10Z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eyJoZGlkIjoiNzVlNDY2OWI2Mjc3NjY3ZjBmZDhkNjk2MmM0OTc0YjciLCJ1c2VySWQiOiI3Nzg0MDczNDUifQ==</vt:lpwstr>
  </property>
  <property fmtid="{D5CDD505-2E9C-101B-9397-08002B2CF9AE}" pid="3" name="KSOProductBuildVer">
    <vt:lpwstr>2052-11.1.0.9021</vt:lpwstr>
  </property>
  <property fmtid="{D5CDD505-2E9C-101B-9397-08002B2CF9AE}" pid="4" name="ICV">
    <vt:lpwstr>9C8721E7B4934BFEB9C2EF21E6BEBE42_12</vt:lpwstr>
  </property>
</Properties>
</file>