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7058A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第三类非药品类易制毒化学品经营备案证明</w:t>
      </w:r>
    </w:p>
    <w:p w14:paraId="14FB890C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服务指南</w:t>
      </w:r>
    </w:p>
    <w:p w14:paraId="6C8F0DD0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75D4BF7A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联系电话：0312-4227813       监督电话：0312-4212641</w:t>
      </w:r>
    </w:p>
    <w:p w14:paraId="22CDDB81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2785F55B"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1、事项（情形）名称：</w:t>
      </w:r>
      <w:r>
        <w:rPr>
          <w:rFonts w:hint="eastAsia" w:ascii="仿宋" w:hAnsi="仿宋" w:eastAsia="仿宋" w:cs="仿宋"/>
          <w:sz w:val="32"/>
          <w:szCs w:val="32"/>
        </w:rPr>
        <w:t>第三类非药品类易制毒化学品经营备案证明</w:t>
      </w:r>
    </w:p>
    <w:p w14:paraId="7E238668"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2、受理地点</w:t>
      </w:r>
      <w:r>
        <w:rPr>
          <w:rFonts w:hint="eastAsia" w:ascii="仿宋" w:hAnsi="仿宋" w:eastAsia="仿宋" w:cs="仿宋"/>
          <w:sz w:val="32"/>
          <w:szCs w:val="32"/>
        </w:rPr>
        <w:t>：河北省保定市曲阳县东环路与南环路交口西北角行政服务中心三楼3号应急管理局窗口</w:t>
      </w:r>
    </w:p>
    <w:p w14:paraId="5FC923F8"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3、事项类别：</w:t>
      </w:r>
      <w:r>
        <w:rPr>
          <w:rFonts w:hint="eastAsia" w:ascii="仿宋" w:hAnsi="仿宋" w:eastAsia="仿宋" w:cs="仿宋"/>
          <w:bCs/>
          <w:sz w:val="32"/>
          <w:szCs w:val="32"/>
        </w:rPr>
        <w:t>行政许可</w:t>
      </w:r>
    </w:p>
    <w:p w14:paraId="4C03DF71"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4、法定时限：</w:t>
      </w:r>
      <w:r>
        <w:rPr>
          <w:rFonts w:hint="eastAsia" w:ascii="仿宋" w:hAnsi="仿宋" w:eastAsia="仿宋" w:cs="仿宋"/>
          <w:bCs/>
          <w:sz w:val="32"/>
          <w:szCs w:val="32"/>
        </w:rPr>
        <w:t>1个工作日</w:t>
      </w:r>
    </w:p>
    <w:p w14:paraId="229A339F"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5、承诺时限：</w:t>
      </w:r>
      <w:r>
        <w:rPr>
          <w:rFonts w:hint="eastAsia" w:ascii="仿宋" w:hAnsi="仿宋" w:eastAsia="仿宋" w:cs="仿宋"/>
          <w:bCs/>
          <w:sz w:val="32"/>
          <w:szCs w:val="32"/>
        </w:rPr>
        <w:t>1个工作日</w:t>
      </w:r>
    </w:p>
    <w:p w14:paraId="105A9631"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6、审批权限：</w:t>
      </w:r>
      <w:r>
        <w:rPr>
          <w:rFonts w:hint="eastAsia" w:ascii="仿宋" w:hAnsi="仿宋" w:eastAsia="仿宋" w:cs="仿宋"/>
          <w:bCs/>
          <w:sz w:val="32"/>
          <w:szCs w:val="32"/>
        </w:rPr>
        <w:t>曲阳</w:t>
      </w:r>
      <w:r>
        <w:rPr>
          <w:rFonts w:hint="eastAsia" w:ascii="仿宋" w:hAnsi="仿宋" w:eastAsia="仿宋" w:cs="仿宋"/>
          <w:sz w:val="32"/>
          <w:szCs w:val="32"/>
        </w:rPr>
        <w:t>县应急管理局</w:t>
      </w:r>
    </w:p>
    <w:p w14:paraId="5B704A53"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7、申请条件：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《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易制毒化学品管理条例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》（国务院令第445号）</w:t>
      </w:r>
    </w:p>
    <w:p w14:paraId="08C660D5"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第十三条第二款规定：</w:t>
      </w:r>
    </w:p>
    <w:p w14:paraId="45563A00"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经营第三类易制毒化学品的，应当自经营之日起30日内，将经营的品种、数量、主要流向等情况，向所在地的县级人民政府安全生产监督管理部门备案。</w:t>
      </w:r>
    </w:p>
    <w:p w14:paraId="7AFEC49F"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8、设定依据</w:t>
      </w:r>
    </w:p>
    <w:p w14:paraId="3A449175">
      <w:pPr>
        <w:widowControl/>
        <w:adjustRightInd w:val="0"/>
        <w:snapToGrid w:val="0"/>
        <w:spacing w:line="360" w:lineRule="auto"/>
        <w:ind w:left="320" w:hanging="320" w:hangingChars="1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《非药品类易制毒化学品生产、经营许可办法》第三条；</w:t>
      </w:r>
    </w:p>
    <w:p w14:paraId="43899D39"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《易制毒化学品管理条例》第十三条。</w:t>
      </w:r>
    </w:p>
    <w:p w14:paraId="353281DA"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、实施主体：</w:t>
      </w:r>
      <w:r>
        <w:rPr>
          <w:rFonts w:hint="eastAsia" w:ascii="仿宋" w:hAnsi="仿宋" w:eastAsia="仿宋" w:cs="仿宋"/>
          <w:sz w:val="32"/>
          <w:szCs w:val="32"/>
        </w:rPr>
        <w:t>曲阳县应急管理局</w:t>
      </w:r>
    </w:p>
    <w:p w14:paraId="267EDCC6"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10、是否收费：</w:t>
      </w:r>
      <w:r>
        <w:rPr>
          <w:rFonts w:hint="eastAsia" w:ascii="仿宋" w:hAnsi="仿宋" w:eastAsia="仿宋" w:cs="仿宋"/>
          <w:sz w:val="32"/>
          <w:szCs w:val="32"/>
        </w:rPr>
        <w:t>否</w:t>
      </w:r>
    </w:p>
    <w:p w14:paraId="61B911C9"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11、收费依据：</w:t>
      </w:r>
      <w:r>
        <w:rPr>
          <w:rFonts w:hint="eastAsia" w:ascii="仿宋" w:hAnsi="仿宋" w:eastAsia="仿宋" w:cs="仿宋"/>
          <w:sz w:val="32"/>
          <w:szCs w:val="32"/>
        </w:rPr>
        <w:t>无</w:t>
      </w:r>
    </w:p>
    <w:p w14:paraId="7CA7C2BA"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12、办理流程：</w:t>
      </w:r>
      <w:r>
        <w:rPr>
          <w:rFonts w:hint="eastAsia" w:ascii="仿宋" w:hAnsi="仿宋" w:eastAsia="仿宋" w:cs="仿宋"/>
          <w:sz w:val="32"/>
          <w:szCs w:val="32"/>
        </w:rPr>
        <w:t>申请、受理—审查、决定—办结</w:t>
      </w:r>
    </w:p>
    <w:p w14:paraId="5A1F407C"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13、申报材料: </w:t>
      </w:r>
    </w:p>
    <w:p w14:paraId="7A18CB6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非药品类易制毒化学品销售品种、销售量、主要流向等情况的备案申请书；</w:t>
      </w:r>
    </w:p>
    <w:p w14:paraId="7B3B9716"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属于危险化学品生产单位的，还应当提交危险化学品经营许可证，免于提交本条第（四）项所要求的文件、资料；</w:t>
      </w:r>
    </w:p>
    <w:p w14:paraId="5592D67C"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3.产品包装说明和使用说明书；</w:t>
      </w:r>
    </w:p>
    <w:p w14:paraId="54D1E781"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4.工商营业执照副本（复印件）；</w:t>
      </w:r>
    </w:p>
    <w:p w14:paraId="3E560519"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5.易制毒化学品管理制度。</w:t>
      </w:r>
    </w:p>
    <w:p w14:paraId="5514DD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D8"/>
    <w:rsid w:val="00727314"/>
    <w:rsid w:val="0094029B"/>
    <w:rsid w:val="00E94CD8"/>
    <w:rsid w:val="39C4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534</Characters>
  <Lines>4</Lines>
  <Paragraphs>1</Paragraphs>
  <TotalTime>1</TotalTime>
  <ScaleCrop>false</ScaleCrop>
  <LinksUpToDate>false</LinksUpToDate>
  <CharactersWithSpaces>542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2023-12-29T08:26:00Z</dcterms:created>
  <dc:creator>Administrator</dc:creator>
  <cp:lastModifiedBy>Administrator</cp:lastModifiedBy>
  <dcterms:modified xsi:type="dcterms:W3CDTF">2025-06-19T01:07:25Z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eyJoZGlkIjoiNGYwM2U5YzM5YmE1YzFkNTJjYWU0ZTZiMDFlYzJkMjgifQ==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FDAE6312F51E4CAABDF493EF6971A3B6_12</vt:lpwstr>
  </property>
</Properties>
</file>